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D" w:rsidRDefault="00FC048D" w:rsidP="00FC048D">
      <w:pPr>
        <w:spacing w:line="192" w:lineRule="auto"/>
        <w:ind w:left="9639"/>
        <w:rPr>
          <w:b/>
        </w:rPr>
      </w:pPr>
      <w:proofErr w:type="gramStart"/>
      <w:r w:rsidRPr="00FC048D">
        <w:rPr>
          <w:b/>
        </w:rPr>
        <w:t>Утверждён</w:t>
      </w:r>
      <w:proofErr w:type="gramEnd"/>
      <w:r w:rsidRPr="00FC048D">
        <w:rPr>
          <w:b/>
        </w:rPr>
        <w:t xml:space="preserve"> распоряжением </w:t>
      </w:r>
    </w:p>
    <w:p w:rsidR="00FC048D" w:rsidRPr="00FC048D" w:rsidRDefault="00FC048D" w:rsidP="00FC048D">
      <w:pPr>
        <w:spacing w:line="192" w:lineRule="auto"/>
        <w:ind w:left="9639"/>
        <w:rPr>
          <w:b/>
        </w:rPr>
      </w:pPr>
      <w:r w:rsidRPr="00FC048D">
        <w:rPr>
          <w:b/>
        </w:rPr>
        <w:t xml:space="preserve">администрации города Красноярска </w:t>
      </w:r>
    </w:p>
    <w:p w:rsidR="00FC048D" w:rsidRPr="00FC048D" w:rsidRDefault="00FC048D" w:rsidP="00FC048D">
      <w:pPr>
        <w:ind w:left="9639"/>
        <w:rPr>
          <w:b/>
        </w:rPr>
      </w:pPr>
      <w:r w:rsidRPr="00FC048D">
        <w:rPr>
          <w:b/>
        </w:rPr>
        <w:t xml:space="preserve">от </w:t>
      </w:r>
      <w:r>
        <w:rPr>
          <w:b/>
        </w:rPr>
        <w:t>22</w:t>
      </w:r>
      <w:r w:rsidRPr="00FC048D">
        <w:rPr>
          <w:b/>
        </w:rPr>
        <w:t>.01.202</w:t>
      </w:r>
      <w:r>
        <w:rPr>
          <w:b/>
        </w:rPr>
        <w:t>5</w:t>
      </w:r>
      <w:r w:rsidRPr="00FC048D">
        <w:rPr>
          <w:b/>
        </w:rPr>
        <w:t xml:space="preserve"> № </w:t>
      </w:r>
      <w:r>
        <w:rPr>
          <w:b/>
        </w:rPr>
        <w:t>9</w:t>
      </w:r>
      <w:r w:rsidRPr="00FC048D">
        <w:rPr>
          <w:b/>
        </w:rPr>
        <w:t>-орг</w:t>
      </w:r>
    </w:p>
    <w:p w:rsidR="00746AD0" w:rsidRDefault="00746AD0" w:rsidP="00746AD0">
      <w:pPr>
        <w:jc w:val="center"/>
        <w:rPr>
          <w:sz w:val="30"/>
          <w:szCs w:val="30"/>
        </w:rPr>
      </w:pPr>
    </w:p>
    <w:p w:rsidR="00746AD0" w:rsidRPr="00A117E2" w:rsidRDefault="00746AD0" w:rsidP="00746AD0">
      <w:pPr>
        <w:spacing w:line="192" w:lineRule="auto"/>
        <w:jc w:val="center"/>
        <w:rPr>
          <w:b/>
        </w:rPr>
      </w:pPr>
      <w:r w:rsidRPr="00A117E2">
        <w:rPr>
          <w:b/>
        </w:rPr>
        <w:t>ПЛАН</w:t>
      </w:r>
    </w:p>
    <w:p w:rsidR="00746AD0" w:rsidRPr="00A117E2" w:rsidRDefault="00746AD0" w:rsidP="00746AD0">
      <w:pPr>
        <w:spacing w:line="192" w:lineRule="auto"/>
        <w:jc w:val="center"/>
        <w:rPr>
          <w:b/>
        </w:rPr>
      </w:pPr>
      <w:r w:rsidRPr="00A117E2">
        <w:rPr>
          <w:b/>
        </w:rPr>
        <w:t xml:space="preserve">противодействия коррупции в администрации города Красноярска на 2025 год </w:t>
      </w:r>
    </w:p>
    <w:p w:rsidR="00746AD0" w:rsidRDefault="00746AD0" w:rsidP="00746AD0">
      <w:pPr>
        <w:jc w:val="center"/>
        <w:rPr>
          <w:sz w:val="30"/>
          <w:szCs w:val="30"/>
        </w:rPr>
      </w:pPr>
      <w:bookmarkStart w:id="0" w:name="_GoBack"/>
      <w:bookmarkEnd w:id="0"/>
    </w:p>
    <w:p w:rsidR="00746AD0" w:rsidRPr="00FC048D" w:rsidRDefault="00746AD0" w:rsidP="00746AD0">
      <w:pPr>
        <w:spacing w:line="14" w:lineRule="auto"/>
      </w:pP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7199"/>
        <w:gridCol w:w="2503"/>
        <w:gridCol w:w="4364"/>
      </w:tblGrid>
      <w:tr w:rsidR="00746AD0" w:rsidRPr="00FC048D" w:rsidTr="00FC048D">
        <w:trPr>
          <w:tblHeader/>
          <w:jc w:val="center"/>
        </w:trPr>
        <w:tc>
          <w:tcPr>
            <w:tcW w:w="210" w:type="pct"/>
            <w:shd w:val="clear" w:color="auto" w:fill="D9D9D9" w:themeFill="background1" w:themeFillShade="D9"/>
          </w:tcPr>
          <w:p w:rsidR="00746AD0" w:rsidRPr="00FC048D" w:rsidRDefault="00FC048D" w:rsidP="00FC048D">
            <w:pPr>
              <w:autoSpaceDE w:val="0"/>
              <w:autoSpaceDN w:val="0"/>
              <w:adjustRightInd w:val="0"/>
              <w:jc w:val="center"/>
            </w:pPr>
            <w:r w:rsidRPr="00FC048D">
              <w:rPr>
                <w:rFonts w:eastAsiaTheme="minorHAnsi"/>
                <w:b/>
                <w:i/>
                <w:lang w:eastAsia="en-US"/>
              </w:rPr>
              <w:t xml:space="preserve">№ </w:t>
            </w:r>
            <w:proofErr w:type="gramStart"/>
            <w:r w:rsidRPr="00FC048D">
              <w:rPr>
                <w:rFonts w:eastAsiaTheme="minorHAnsi"/>
                <w:b/>
                <w:i/>
                <w:lang w:eastAsia="en-US"/>
              </w:rPr>
              <w:t>п</w:t>
            </w:r>
            <w:proofErr w:type="gramEnd"/>
            <w:r w:rsidRPr="00FC048D">
              <w:rPr>
                <w:rFonts w:eastAsiaTheme="minorHAnsi"/>
                <w:b/>
                <w:i/>
                <w:lang w:eastAsia="en-US"/>
              </w:rPr>
              <w:t>/п</w:t>
            </w:r>
          </w:p>
        </w:tc>
        <w:tc>
          <w:tcPr>
            <w:tcW w:w="2451" w:type="pct"/>
            <w:shd w:val="clear" w:color="auto" w:fill="D9D9D9" w:themeFill="background1" w:themeFillShade="D9"/>
          </w:tcPr>
          <w:p w:rsidR="00746AD0" w:rsidRPr="00FC048D" w:rsidRDefault="00FC048D" w:rsidP="00FC0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b/>
                <w:i/>
                <w:lang w:eastAsia="en-US"/>
              </w:rPr>
              <w:t>Наименование мероприятия</w:t>
            </w:r>
          </w:p>
        </w:tc>
        <w:tc>
          <w:tcPr>
            <w:tcW w:w="852" w:type="pct"/>
            <w:shd w:val="clear" w:color="auto" w:fill="D9D9D9" w:themeFill="background1" w:themeFillShade="D9"/>
          </w:tcPr>
          <w:p w:rsidR="00746AD0" w:rsidRPr="00FC048D" w:rsidRDefault="00FC048D" w:rsidP="00FC0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b/>
                <w:i/>
                <w:lang w:eastAsia="en-US"/>
              </w:rPr>
              <w:t>Срок исполнения</w:t>
            </w:r>
          </w:p>
        </w:tc>
        <w:tc>
          <w:tcPr>
            <w:tcW w:w="1486" w:type="pct"/>
            <w:shd w:val="clear" w:color="auto" w:fill="D9D9D9" w:themeFill="background1" w:themeFillShade="D9"/>
          </w:tcPr>
          <w:p w:rsidR="00746AD0" w:rsidRPr="00FC048D" w:rsidRDefault="00FC048D" w:rsidP="00FC04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b/>
                <w:i/>
                <w:lang w:eastAsia="en-US"/>
              </w:rPr>
              <w:t>Исполнитель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9D7030">
            <w:pPr>
              <w:autoSpaceDE w:val="0"/>
              <w:autoSpaceDN w:val="0"/>
              <w:adjustRightInd w:val="0"/>
              <w:jc w:val="center"/>
            </w:pPr>
            <w:r w:rsidRPr="00FC048D">
              <w:t>1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Размещение </w:t>
            </w:r>
            <w:proofErr w:type="gramStart"/>
            <w:r w:rsidRPr="00FC048D">
              <w:rPr>
                <w:rFonts w:eastAsiaTheme="minorHAnsi"/>
                <w:lang w:eastAsia="en-US"/>
              </w:rPr>
              <w:t>планов противодействия коррупции органов администрации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города, муниципальных предприятий, учреждений на официальном сайте администрации города, планов противодействия коррупции муниципальных предприятий, муниципальных учреждений 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852" w:type="pct"/>
          </w:tcPr>
          <w:p w:rsidR="00FC048D" w:rsidRPr="00FC048D" w:rsidRDefault="00FC048D" w:rsidP="009D70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до 28.01.2025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города; муниципальные предприятия;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соответствии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 –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3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Анализ обращений граждан и организаций в ходе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их рассмотрения на предмет наличия информации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 признаках коррупции в органах администрации города, муниципальных предприятиях и муниципальных учреждениях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города; муниципальные предприятия;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Освещение в средствах массовой информации и социальных сетях принимаемых администрацией города мер по противодействию коррупции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департамент информационной политики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tabs>
                <w:tab w:val="left" w:pos="6548"/>
              </w:tabs>
              <w:ind w:right="84"/>
              <w:jc w:val="left"/>
              <w:rPr>
                <w:lang w:eastAsia="en-US"/>
              </w:rPr>
            </w:pPr>
            <w:r w:rsidRPr="00FC048D">
              <w:rPr>
                <w:lang w:eastAsia="en-US"/>
              </w:rPr>
              <w:t>управление кадровой политики и организационной работы администрации города;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6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Формирование и использование резерва управленческих кадров администрации города для замещения вакантных должностей муниципальной службы администрации города Красноярска категории «руководители», для назначения на вакантные должности </w:t>
            </w:r>
            <w:r w:rsidRPr="00FC048D">
              <w:rPr>
                <w:rFonts w:eastAsiaTheme="minorHAnsi"/>
                <w:lang w:eastAsia="en-US"/>
              </w:rPr>
              <w:lastRenderedPageBreak/>
              <w:t>руководителей муниципальных унитарных предприятий и муниципальных учреждений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tabs>
                <w:tab w:val="left" w:pos="6548"/>
              </w:tabs>
              <w:ind w:right="84"/>
              <w:jc w:val="left"/>
              <w:rPr>
                <w:lang w:eastAsia="en-US"/>
              </w:rPr>
            </w:pPr>
            <w:r w:rsidRPr="00FC048D">
              <w:rPr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  <w:p w:rsidR="00FC048D" w:rsidRPr="00FC048D" w:rsidRDefault="00FC048D" w:rsidP="00FC048D">
            <w:pPr>
              <w:tabs>
                <w:tab w:val="left" w:pos="6548"/>
              </w:tabs>
              <w:spacing w:line="235" w:lineRule="auto"/>
              <w:ind w:right="84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7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Формирование и использование резерва кадров для замещения вакантных должностей муниципальной службы администрации города Красноярска категорий «специалисты» всех групп должностей и «обеспечивающие специалисты» ведущей группы должностей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tabs>
                <w:tab w:val="left" w:pos="6548"/>
              </w:tabs>
              <w:ind w:right="84"/>
              <w:jc w:val="left"/>
              <w:rPr>
                <w:lang w:eastAsia="en-US"/>
              </w:rPr>
            </w:pPr>
            <w:r w:rsidRPr="00FC048D">
              <w:rPr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  <w:p w:rsidR="00FC048D" w:rsidRPr="00FC048D" w:rsidRDefault="00FC048D" w:rsidP="00FC048D">
            <w:pPr>
              <w:tabs>
                <w:tab w:val="left" w:pos="6548"/>
              </w:tabs>
              <w:spacing w:line="235" w:lineRule="auto"/>
              <w:ind w:right="84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Обеспечение участия муниципальных служащих администрации города Красноярска в мероприятиях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по профессиональному развитию в области противодействия коррупции 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tabs>
                <w:tab w:val="left" w:pos="6548"/>
              </w:tabs>
              <w:ind w:right="84"/>
              <w:jc w:val="left"/>
              <w:rPr>
                <w:lang w:eastAsia="en-US"/>
              </w:rPr>
            </w:pPr>
            <w:r w:rsidRPr="00FC048D">
              <w:rPr>
                <w:lang w:eastAsia="en-US"/>
              </w:rPr>
              <w:t>управление кадровой политики и организационной работы администрации города;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</w:pPr>
            <w:proofErr w:type="gramStart"/>
            <w:r w:rsidRPr="00FC048D"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администрации города Красноярска к совершению коррупционных правонарушений (в соответствии </w:t>
            </w:r>
            <w:proofErr w:type="gramEnd"/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с распоряжением первого заместителя Главы города от 17.04.2009 № 22-орг)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в день поступления уведомления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10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уведомления представителя нанимателя (работодателя) муниципальным служащим администрации города Красноярска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с распоряжением администрации города от 25.12.2015 № 447-р)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при поступлении уведомления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11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предварительного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при поступлении уведомления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12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pStyle w:val="ConsPlusTitle"/>
              <w:spacing w:line="235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</w:t>
            </w:r>
          </w:p>
          <w:p w:rsidR="00FC048D" w:rsidRPr="00FC048D" w:rsidRDefault="00FC048D" w:rsidP="00A117E2">
            <w:pPr>
              <w:pStyle w:val="ConsPlusTitle"/>
              <w:spacing w:line="235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(в соответствии со статьей 3.4 Закона Красноярского края 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lastRenderedPageBreak/>
              <w:t xml:space="preserve">при поступлении 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t>заявления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органы администрации города, </w:t>
            </w:r>
            <w:r w:rsidRPr="00FC048D">
              <w:lastRenderedPageBreak/>
              <w:t>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lastRenderedPageBreak/>
              <w:t>13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</w:t>
            </w:r>
          </w:p>
          <w:p w:rsidR="00FC048D" w:rsidRPr="00FC048D" w:rsidRDefault="00FC048D" w:rsidP="00FC048D">
            <w:pPr>
              <w:pStyle w:val="ConsPlusTitle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 о возможности его возникновения (в соответствии с распоряжением администрации города от 30.09.2021 № 265-р)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t>при поступлении уведомления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(в отношении руководителей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</w:pPr>
            <w:proofErr w:type="gramStart"/>
            <w:r w:rsidRPr="00FC048D">
              <w:t xml:space="preserve">органы администрации города, наделенные правами юридического лица (в отношении руководителей подведомственных муниципальных учреждений </w:t>
            </w:r>
            <w:proofErr w:type="gramEnd"/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и предприятий)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14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Обеспечение порядка предоставления гражданином, претендующим на замещение должности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  <w:rPr>
                <w:lang w:eastAsia="en-US"/>
              </w:rPr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</w:t>
            </w:r>
          </w:p>
          <w:p w:rsidR="00FC048D" w:rsidRPr="00FC048D" w:rsidRDefault="00FC048D" w:rsidP="00FC048D">
            <w:pPr>
              <w:jc w:val="left"/>
            </w:pPr>
            <w:r w:rsidRPr="00FC048D">
              <w:rPr>
                <w:lang w:eastAsia="en-US"/>
              </w:rPr>
              <w:t>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jc w:val="left"/>
            </w:pPr>
            <w:r w:rsidRPr="00FC048D">
              <w:t>органы администрации города, наделенные правами юридического лица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15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16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</w:t>
            </w:r>
            <w:r w:rsidRPr="00FC048D">
              <w:lastRenderedPageBreak/>
              <w:t>об имуществе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lastRenderedPageBreak/>
              <w:t>до 30.04.2025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jc w:val="left"/>
              <w:rPr>
                <w:rFonts w:eastAsiaTheme="minorHAnsi"/>
                <w:lang w:eastAsia="en-US"/>
              </w:rPr>
            </w:pPr>
            <w:r w:rsidRPr="00FC048D">
              <w:lastRenderedPageBreak/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17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до 30.04.2025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18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19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pStyle w:val="ConsPlusTit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48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руководителями муниципальных учреждений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 xml:space="preserve">администрации города </w:t>
            </w:r>
            <w:r w:rsidRPr="00FC048D">
              <w:t>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20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Организация и проведение проверок достоверности и полноты сведений о доходах, об имуществе и обязательствах </w:t>
            </w:r>
            <w:r w:rsidRPr="00FC048D">
              <w:lastRenderedPageBreak/>
              <w:t>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jc w:val="center"/>
            </w:pPr>
            <w:r w:rsidRPr="00FC048D">
              <w:lastRenderedPageBreak/>
              <w:t xml:space="preserve">при поступлении информации, </w:t>
            </w:r>
            <w:r w:rsidRPr="00FC048D">
              <w:lastRenderedPageBreak/>
              <w:t>предусмотренной ст. 3.2 Закона Красноярского края от 24.04.2008</w:t>
            </w:r>
          </w:p>
          <w:p w:rsidR="00FC048D" w:rsidRPr="00FC048D" w:rsidRDefault="00FC048D" w:rsidP="001C448A">
            <w:pPr>
              <w:jc w:val="center"/>
              <w:rPr>
                <w:rFonts w:eastAsiaTheme="minorHAnsi"/>
                <w:lang w:eastAsia="en-US"/>
              </w:rPr>
            </w:pPr>
            <w:r w:rsidRPr="00FC048D">
              <w:t>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lastRenderedPageBreak/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</w:t>
            </w:r>
            <w:r w:rsidRPr="00FC048D">
              <w:rPr>
                <w:lang w:eastAsia="en-US"/>
              </w:rPr>
              <w:lastRenderedPageBreak/>
              <w:t>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21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t>при поступлении информации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22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spacing w:line="235" w:lineRule="auto"/>
              <w:jc w:val="center"/>
            </w:pPr>
            <w:r w:rsidRPr="00FC048D">
              <w:t>в течение года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FC048D" w:rsidRPr="00FC048D" w:rsidRDefault="00FC048D" w:rsidP="00FC048D">
            <w:pPr>
              <w:spacing w:line="235" w:lineRule="auto"/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23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Проведение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spacing w:line="235" w:lineRule="auto"/>
              <w:jc w:val="center"/>
            </w:pPr>
            <w:r w:rsidRPr="00FC048D">
              <w:t>в течение года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FC048D" w:rsidRPr="00FC048D" w:rsidRDefault="00FC048D" w:rsidP="00FC048D">
            <w:pPr>
              <w:spacing w:line="235" w:lineRule="auto"/>
              <w:jc w:val="left"/>
            </w:pPr>
            <w:r w:rsidRPr="00FC048D">
              <w:t xml:space="preserve">управление кадровой политики и организационной работы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(в отношении муниципальных учреждений и предприятий, координацию деятельности которых осуществляют органы администрации </w:t>
            </w:r>
            <w:r w:rsidRPr="00FC048D">
              <w:lastRenderedPageBreak/>
              <w:t>города, не наделенные правами юридического лица);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 (в отношении подведомственных муниципальных учреждений и предприятий)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24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Размещение на официальном сайте администрации города Красноярска информации о деятельности комиссий по соблюдению требований к служебному поведению муниципальных служащих администрации города Красноярска и урегулированию конфликта интересов на муниципальной службе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jc w:val="center"/>
            </w:pPr>
            <w:r w:rsidRPr="00FC048D">
              <w:t>ежеквартально,</w:t>
            </w:r>
          </w:p>
          <w:p w:rsidR="00FC048D" w:rsidRPr="00FC048D" w:rsidRDefault="00FC048D" w:rsidP="001C448A">
            <w:pPr>
              <w:jc w:val="center"/>
            </w:pPr>
            <w:r w:rsidRPr="00FC048D">
              <w:t xml:space="preserve">не позднее </w:t>
            </w:r>
          </w:p>
          <w:p w:rsidR="00FC048D" w:rsidRPr="00FC048D" w:rsidRDefault="00FC048D" w:rsidP="001C448A">
            <w:pPr>
              <w:jc w:val="center"/>
            </w:pPr>
            <w:r w:rsidRPr="00FC048D">
              <w:t xml:space="preserve">15-го числа месяца, </w:t>
            </w:r>
          </w:p>
          <w:p w:rsidR="00FC048D" w:rsidRPr="00FC048D" w:rsidRDefault="00FC048D" w:rsidP="001C448A">
            <w:pPr>
              <w:jc w:val="center"/>
            </w:pPr>
            <w:r w:rsidRPr="00FC048D">
              <w:t xml:space="preserve">следующего </w:t>
            </w:r>
          </w:p>
          <w:p w:rsidR="00FC048D" w:rsidRPr="00FC048D" w:rsidRDefault="00FC048D" w:rsidP="001C448A">
            <w:pPr>
              <w:jc w:val="center"/>
            </w:pPr>
            <w:r w:rsidRPr="00FC048D">
              <w:t>за отчетным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86" w:type="pct"/>
          </w:tcPr>
          <w:p w:rsidR="00FC048D" w:rsidRPr="00FC048D" w:rsidRDefault="00FC048D" w:rsidP="00FC048D">
            <w:pPr>
              <w:jc w:val="left"/>
            </w:pPr>
            <w:r w:rsidRPr="00FC048D">
              <w:t>управление кадровой политики и организационной работы</w:t>
            </w:r>
            <w:r w:rsidRPr="00FC048D">
              <w:rPr>
                <w:lang w:eastAsia="en-US"/>
              </w:rPr>
              <w:t xml:space="preserve"> администрации города</w:t>
            </w:r>
            <w:r w:rsidRPr="00FC048D">
              <w:t>;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25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26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FC048D">
              <w:rPr>
                <w:rFonts w:eastAsiaTheme="minorHAnsi"/>
                <w:lang w:eastAsia="en-US"/>
              </w:rPr>
              <w:t>юридическое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управление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27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 – разработчики проектов нормативных правовых актов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28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предприятия; 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29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муниципальные предприятия, муниципальные учреждения – разработчики правовых актов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30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8" w:history="1">
              <w:r w:rsidRPr="00FC048D">
                <w:rPr>
                  <w:rFonts w:eastAsiaTheme="minorHAnsi"/>
                  <w:lang w:eastAsia="en-US"/>
                </w:rPr>
                <w:t>законом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от 17.01.1992 № 2202-1 «О прокуратуре </w:t>
            </w:r>
            <w:r w:rsidRPr="00FC048D">
              <w:rPr>
                <w:rFonts w:eastAsiaTheme="minorHAnsi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FC048D">
              <w:rPr>
                <w:rFonts w:eastAsiaTheme="minorHAnsi"/>
                <w:lang w:eastAsia="en-US"/>
              </w:rPr>
              <w:lastRenderedPageBreak/>
              <w:t>юридическое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управление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города; муниципальные предприятия, муниципальные учреждения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lastRenderedPageBreak/>
              <w:t>(в пределах компетенции)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lastRenderedPageBreak/>
              <w:t>31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Подготовка и направление в органы администрации города актуальной информации об изменениях действующего законодательства и о судебной практике по вопросам противодействия коррупции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FC048D">
              <w:rPr>
                <w:rFonts w:eastAsiaTheme="minorHAnsi"/>
                <w:lang w:eastAsia="en-US"/>
              </w:rPr>
              <w:t>юридическое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управление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32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FC048D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33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34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управление архитектуры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35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FC048D">
              <w:rPr>
                <w:rFonts w:eastAsiaTheme="minorHAnsi"/>
                <w:lang w:eastAsia="en-US"/>
              </w:rPr>
              <w:t xml:space="preserve">Размещение и поддержание в актуальном состоянии на официальном сайте администрации города Красноярска информации, связанной с осуществлением органами администрации города муниципального земельного контроля в соответствии с Федеральным законом от 31.07.2020 № 248-ФЗ «О государственном контроле (надзоре) и муниципальном контроле в Российской Федерации», с учетом Положения о муниципальном земельном контроле на территории города Красноярска, утвержденного решением Красноярского городского Совета депутатов </w:t>
            </w:r>
            <w:proofErr w:type="gramEnd"/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от 14.08.2021 № 13-188 «О муниципальном земельном контроле на территории города Красноярска»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36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37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</w:t>
            </w:r>
            <w:r w:rsidRPr="00FC048D">
              <w:rPr>
                <w:rFonts w:eastAsiaTheme="minorHAnsi"/>
                <w:lang w:eastAsia="en-US"/>
              </w:rPr>
              <w:lastRenderedPageBreak/>
              <w:t>Федерации в области персональных данных)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38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39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40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планируемых торгах на право заключения договоров о комплексном развитии территории по инициативе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41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администрации районов в городе;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управление архитектуры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 –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FC048D">
              <w:t>43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плана капитального ремонта улиц, дорог 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городского хозяйства и транспорта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FC048D">
              <w:t>44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департамент </w:t>
            </w:r>
            <w:proofErr w:type="gramStart"/>
            <w:r w:rsidRPr="00FC048D">
              <w:rPr>
                <w:rFonts w:eastAsiaTheme="minorHAnsi"/>
                <w:lang w:eastAsia="en-US"/>
              </w:rPr>
              <w:t>общественной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безопасности администрации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финансов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FC048D">
              <w:lastRenderedPageBreak/>
              <w:t>45</w:t>
            </w:r>
          </w:p>
        </w:tc>
        <w:tc>
          <w:tcPr>
            <w:tcW w:w="2451" w:type="pct"/>
          </w:tcPr>
          <w:p w:rsidR="00A117E2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соответствии с Реестром муниципальных услуг города Красноярска, утвержденным </w:t>
            </w:r>
            <w:hyperlink r:id="rId9" w:history="1">
              <w:r w:rsidRPr="00FC048D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от 04.06.2008 </w:t>
            </w:r>
          </w:p>
          <w:p w:rsidR="00FC048D" w:rsidRPr="00FC048D" w:rsidRDefault="00FC048D" w:rsidP="00A117E2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№ 1-дг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2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46</w:t>
            </w:r>
          </w:p>
        </w:tc>
        <w:tc>
          <w:tcPr>
            <w:tcW w:w="2451" w:type="pct"/>
          </w:tcPr>
          <w:p w:rsidR="00A117E2" w:rsidRDefault="00FC048D" w:rsidP="00FC048D">
            <w:pPr>
              <w:autoSpaceDE w:val="0"/>
              <w:autoSpaceDN w:val="0"/>
              <w:adjustRightInd w:val="0"/>
              <w:jc w:val="left"/>
            </w:pPr>
            <w:r w:rsidRPr="00FC048D">
              <w:t xml:space="preserve">Формирование и направление в управление информатизации и связи </w:t>
            </w:r>
            <w:r w:rsidRPr="00FC048D">
              <w:rPr>
                <w:lang w:eastAsia="en-US"/>
              </w:rPr>
              <w:t>администрации города</w:t>
            </w:r>
            <w:r w:rsidRPr="00FC048D">
              <w:t xml:space="preserve"> 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Pr="00FC048D">
              <w:rPr>
                <w:rFonts w:eastAsiaTheme="minorHAnsi"/>
                <w:lang w:eastAsia="en-US"/>
              </w:rPr>
              <w:t xml:space="preserve">утвержденным </w:t>
            </w:r>
            <w:hyperlink r:id="rId10" w:history="1">
              <w:r w:rsidRPr="00FC048D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FC048D">
              <w:t xml:space="preserve">от 04.06.2008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№ 1-дг 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val="en-US" w:eastAsia="en-US"/>
              </w:rPr>
              <w:t xml:space="preserve">I </w:t>
            </w:r>
            <w:r w:rsidRPr="00FC048D">
              <w:rPr>
                <w:rFonts w:eastAsiaTheme="minorHAnsi"/>
                <w:lang w:eastAsia="en-US"/>
              </w:rPr>
              <w:t>квартал 2025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47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Расширение перечня  муниципальных услуг, предоставляемых в цифровом виде,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</w:t>
            </w:r>
            <w:r w:rsidRPr="00FC048D">
              <w:rPr>
                <w:rFonts w:eastAsiaTheme="minorHAnsi"/>
                <w:lang w:eastAsia="en-US"/>
              </w:rPr>
              <w:t xml:space="preserve">утвержденным </w:t>
            </w:r>
            <w:hyperlink r:id="rId11" w:history="1">
              <w:r w:rsidRPr="00FC048D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FC048D">
              <w:t>от 04.06.2008 № 1-дг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48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Информирование заказчиков города Красноярска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t>49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FC048D">
              <w:rPr>
                <w:rFonts w:eastAsiaTheme="minorHAnsi"/>
                <w:lang w:eastAsia="en-US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FC048D">
              <w:rPr>
                <w:rFonts w:eastAsiaTheme="minorHAnsi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 – разработчики документации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 закупках, муниципальные предприятия, муниципальные учреждения, осуществляющие закупки в соответствии с Федеральным </w:t>
            </w:r>
            <w:hyperlink r:id="rId12" w:history="1">
              <w:r w:rsidRPr="00FC048D">
                <w:rPr>
                  <w:rFonts w:eastAsiaTheme="minorHAnsi"/>
                  <w:lang w:eastAsia="en-US"/>
                </w:rPr>
                <w:t>законом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от </w:t>
            </w:r>
            <w:r w:rsidRPr="00FC048D">
              <w:rPr>
                <w:rFonts w:eastAsiaTheme="minorHAnsi"/>
                <w:lang w:eastAsia="en-US"/>
              </w:rPr>
              <w:lastRenderedPageBreak/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FC048D">
              <w:lastRenderedPageBreak/>
              <w:t>50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 – разработчики документации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 закупках, муниципальные учреждения, муниципальные предприятия, осуществляющие закупки в соответствии с Федеральным </w:t>
            </w:r>
            <w:hyperlink r:id="rId13" w:history="1">
              <w:r w:rsidRPr="00FC048D">
                <w:rPr>
                  <w:rFonts w:eastAsiaTheme="minorHAnsi"/>
                  <w:lang w:eastAsia="en-US"/>
                </w:rPr>
                <w:t>законом</w:t>
              </w:r>
            </w:hyperlink>
            <w:r w:rsidRPr="00FC048D">
              <w:rPr>
                <w:rFonts w:eastAsiaTheme="minorHAnsi"/>
                <w:lang w:eastAsia="en-US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FC048D">
              <w:t>51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ноябрь – декабрь</w:t>
            </w:r>
          </w:p>
          <w:p w:rsidR="00FC048D" w:rsidRPr="00FC048D" w:rsidRDefault="00FC048D" w:rsidP="001C448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2025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города; муниципальные предприятия;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spacing w:line="245" w:lineRule="auto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52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Проведение анализа результатов рассмотрения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обращений правоохранительных, контрольных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города; муниципальные предприятия;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53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 и направление информации первому заместителю Главы города, </w:t>
            </w:r>
            <w:r w:rsidRPr="00FC048D">
              <w:rPr>
                <w:color w:val="000000"/>
              </w:rPr>
              <w:t>в ведении которого находятся вопросы правового обеспечения деятельности администрации города и обеспечения общественной безопасности 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департамент информационной политики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54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в социальных сетях информационно-телекоммуникационной сети Интернет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55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администрации города, сайтах муниципальных предприятий, муниципальных </w:t>
            </w:r>
            <w:r w:rsidRPr="00FC048D">
              <w:rPr>
                <w:rFonts w:eastAsiaTheme="minorHAnsi"/>
                <w:lang w:eastAsia="en-US"/>
              </w:rPr>
              <w:lastRenderedPageBreak/>
              <w:t>учреждений (при наличии сайтов муниципальных предприятий, муниципальных учреждений) и в местах приема граждан информац</w:t>
            </w:r>
            <w:proofErr w:type="gramStart"/>
            <w:r w:rsidRPr="00FC048D">
              <w:rPr>
                <w:rFonts w:eastAsiaTheme="minorHAnsi"/>
                <w:lang w:eastAsia="en-US"/>
              </w:rPr>
              <w:t>ии о е</w:t>
            </w:r>
            <w:proofErr w:type="gramEnd"/>
            <w:r w:rsidRPr="00FC048D">
              <w:rPr>
                <w:rFonts w:eastAsiaTheme="minorHAnsi"/>
                <w:lang w:eastAsia="en-US"/>
              </w:rPr>
              <w:t>го работе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управление делами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органы администрации города, </w:t>
            </w:r>
            <w:r w:rsidRPr="00FC048D">
              <w:rPr>
                <w:rFonts w:eastAsiaTheme="minorHAnsi"/>
                <w:lang w:eastAsia="en-US"/>
              </w:rPr>
              <w:lastRenderedPageBreak/>
              <w:t xml:space="preserve">осуществляющие организацию приема и прием граждан;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муниципальные предприятия;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lastRenderedPageBreak/>
              <w:t>56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Совместное рассмотрение с депутатами Красноярского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57</w:t>
            </w:r>
          </w:p>
        </w:tc>
        <w:tc>
          <w:tcPr>
            <w:tcW w:w="2451" w:type="pct"/>
          </w:tcPr>
          <w:p w:rsidR="00FC048D" w:rsidRPr="00FC048D" w:rsidRDefault="00FC048D" w:rsidP="00A117E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управление делами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58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rPr>
                <w:rFonts w:eastAsiaTheme="minorHAnsi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C048D" w:rsidRPr="00FC048D" w:rsidTr="00FC048D">
        <w:trPr>
          <w:jc w:val="center"/>
        </w:trPr>
        <w:tc>
          <w:tcPr>
            <w:tcW w:w="210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</w:pPr>
            <w:r w:rsidRPr="00FC048D">
              <w:t>59</w:t>
            </w:r>
          </w:p>
        </w:tc>
        <w:tc>
          <w:tcPr>
            <w:tcW w:w="2451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 xml:space="preserve">Проведение социологического исследования на тему «Уровень распространенности проявлений коррупции в Красноярске» путем </w:t>
            </w:r>
            <w:proofErr w:type="gramStart"/>
            <w:r w:rsidRPr="00FC048D">
              <w:t>интернет-опроса</w:t>
            </w:r>
            <w:proofErr w:type="gramEnd"/>
          </w:p>
        </w:tc>
        <w:tc>
          <w:tcPr>
            <w:tcW w:w="852" w:type="pct"/>
          </w:tcPr>
          <w:p w:rsidR="00FC048D" w:rsidRPr="00FC048D" w:rsidRDefault="00FC048D" w:rsidP="001C448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C048D">
              <w:t>ноябрь 2025 года</w:t>
            </w:r>
          </w:p>
        </w:tc>
        <w:tc>
          <w:tcPr>
            <w:tcW w:w="1486" w:type="pct"/>
          </w:tcPr>
          <w:p w:rsidR="00FC048D" w:rsidRPr="00FC048D" w:rsidRDefault="00FC048D" w:rsidP="00FC048D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C048D">
              <w:t>департамент информационной политики администрации города</w:t>
            </w:r>
          </w:p>
        </w:tc>
      </w:tr>
    </w:tbl>
    <w:p w:rsidR="00746AD0" w:rsidRPr="00FC048D" w:rsidRDefault="00746AD0" w:rsidP="00746AD0">
      <w:pPr>
        <w:jc w:val="center"/>
        <w:rPr>
          <w:b/>
        </w:rPr>
      </w:pPr>
    </w:p>
    <w:p w:rsidR="003A51AF" w:rsidRPr="00FC048D" w:rsidRDefault="003A51AF"/>
    <w:sectPr w:rsidR="003A51AF" w:rsidRPr="00FC048D" w:rsidSect="00FC048D">
      <w:headerReference w:type="default" r:id="rId14"/>
      <w:pgSz w:w="16838" w:h="11906" w:orient="landscape" w:code="9"/>
      <w:pgMar w:top="284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3B" w:rsidRDefault="00393E3B">
      <w:r>
        <w:separator/>
      </w:r>
    </w:p>
  </w:endnote>
  <w:endnote w:type="continuationSeparator" w:id="0">
    <w:p w:rsidR="00393E3B" w:rsidRDefault="0039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3B" w:rsidRDefault="00393E3B">
      <w:r>
        <w:separator/>
      </w:r>
    </w:p>
  </w:footnote>
  <w:footnote w:type="continuationSeparator" w:id="0">
    <w:p w:rsidR="00393E3B" w:rsidRDefault="0039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B2" w:rsidRDefault="00393E3B" w:rsidP="00E5264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D0"/>
    <w:rsid w:val="001B6CBC"/>
    <w:rsid w:val="00393E3B"/>
    <w:rsid w:val="003A51AF"/>
    <w:rsid w:val="00746AD0"/>
    <w:rsid w:val="00A117E2"/>
    <w:rsid w:val="00C730F6"/>
    <w:rsid w:val="00F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D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AD0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A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6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746AD0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746A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D0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AD0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A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6A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A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746AD0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746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F5AF2F00699D517777D26FC1C0ECCA613202CA1B488E18979FE501D2F7531E57076F3AE0CDFF3B6B25B8A14v9MEG" TargetMode="External"/><Relationship Id="rId13" Type="http://schemas.openxmlformats.org/officeDocument/2006/relationships/hyperlink" Target="consultantplus://offline/ref=95AF5AF2F00699D517777D26FC1C0ECCA6132627ADB788E18979FE501D2F7531E57076F3AE0CDFF3B6B25B8A14v9MEG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AF5AF2F00699D517777D26FC1C0ECCA6132627ADB788E18979FE501D2F7531E57076F3AE0CDFF3B6B25B8A14v9ME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AF5AF2F00699D51777632BEA7051C3A61C7A29A7B48AB6D12CF807427F7364B73028AAFE4094FFB5A4478B14800F0F33vEM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AF5AF2F00699D51777632BEA7051C3A61C7A29A7B48AB6D12CF807427F7364B73028AAFE4094FFB5A4478B14800F0F33vEME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F5AF2F00699D51777632BEA7051C3A61C7A29A7B48AB6D12CF807427F7364B73028AAFE4094FFB5A4478B14800F0F33vEM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B30E3-F3B7-4D33-854D-C0E45FF78E8C}"/>
</file>

<file path=customXml/itemProps2.xml><?xml version="1.0" encoding="utf-8"?>
<ds:datastoreItem xmlns:ds="http://schemas.openxmlformats.org/officeDocument/2006/customXml" ds:itemID="{36508AAE-811F-40D8-942C-A12A3DE36A3B}"/>
</file>

<file path=customXml/itemProps3.xml><?xml version="1.0" encoding="utf-8"?>
<ds:datastoreItem xmlns:ds="http://schemas.openxmlformats.org/officeDocument/2006/customXml" ds:itemID="{CE0D94B6-A803-435B-9387-76D1AC834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Гончарик Ольга Валерьевна</cp:lastModifiedBy>
  <cp:revision>2</cp:revision>
  <dcterms:created xsi:type="dcterms:W3CDTF">2025-01-29T02:58:00Z</dcterms:created>
  <dcterms:modified xsi:type="dcterms:W3CDTF">2025-01-30T04:33:00Z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