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w:t>
      </w:r>
      <w:r w:rsidR="00D1016D">
        <w:rPr>
          <w:rFonts w:ascii="Times New Roman" w:eastAsia="Times New Roman" w:hAnsi="Times New Roman" w:cs="Times New Roman"/>
          <w:sz w:val="28"/>
          <w:szCs w:val="28"/>
          <w:lang w:eastAsia="ar-SA"/>
        </w:rPr>
        <w:t>а</w:t>
      </w:r>
      <w:r w:rsidRPr="00524A6F">
        <w:rPr>
          <w:rFonts w:ascii="Times New Roman" w:eastAsia="Times New Roman" w:hAnsi="Times New Roman" w:cs="Times New Roman"/>
          <w:sz w:val="28"/>
          <w:szCs w:val="28"/>
          <w:lang w:eastAsia="ar-SA"/>
        </w:rPr>
        <w:t xml:space="preserve"> недвижимости, являющ</w:t>
      </w:r>
      <w:r w:rsidR="00D1016D">
        <w:rPr>
          <w:rFonts w:ascii="Times New Roman" w:eastAsia="Times New Roman" w:hAnsi="Times New Roman" w:cs="Times New Roman"/>
          <w:sz w:val="28"/>
          <w:szCs w:val="28"/>
          <w:lang w:eastAsia="ar-SA"/>
        </w:rPr>
        <w:t>его</w:t>
      </w:r>
      <w:r w:rsidRPr="00524A6F">
        <w:rPr>
          <w:rFonts w:ascii="Times New Roman" w:eastAsia="Times New Roman" w:hAnsi="Times New Roman" w:cs="Times New Roman"/>
          <w:sz w:val="28"/>
          <w:szCs w:val="28"/>
          <w:lang w:eastAsia="ar-SA"/>
        </w:rPr>
        <w:t>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CC56E1" w:rsidRDefault="00B50162" w:rsidP="00932EA4">
      <w:pPr>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CC56E1">
        <w:rPr>
          <w:rFonts w:ascii="Times New Roman" w:eastAsia="Times New Roman" w:hAnsi="Times New Roman" w:cs="Times New Roman"/>
          <w:sz w:val="28"/>
          <w:szCs w:val="28"/>
          <w:lang w:eastAsia="ar-SA"/>
        </w:rPr>
        <w:t>3</w:t>
      </w:r>
      <w:r w:rsidR="00932EA4" w:rsidRPr="00524A6F">
        <w:rPr>
          <w:rFonts w:ascii="Times New Roman" w:eastAsia="Times New Roman" w:hAnsi="Times New Roman" w:cs="Times New Roman"/>
          <w:sz w:val="28"/>
          <w:szCs w:val="28"/>
          <w:lang w:eastAsia="ar-SA"/>
        </w:rPr>
        <w:t xml:space="preserve"> общей площадью </w:t>
      </w:r>
      <w:r w:rsidR="00CC56E1">
        <w:rPr>
          <w:rFonts w:ascii="Times New Roman" w:eastAsia="Times New Roman" w:hAnsi="Times New Roman" w:cs="Times New Roman"/>
          <w:sz w:val="28"/>
          <w:szCs w:val="28"/>
          <w:lang w:eastAsia="ar-SA"/>
        </w:rPr>
        <w:t>50,2</w:t>
      </w:r>
      <w:r w:rsidR="00932EA4" w:rsidRPr="00524A6F">
        <w:rPr>
          <w:rFonts w:ascii="Times New Roman" w:eastAsia="Times New Roman" w:hAnsi="Times New Roman" w:cs="Times New Roman"/>
          <w:sz w:val="28"/>
          <w:szCs w:val="28"/>
          <w:lang w:eastAsia="ar-SA"/>
        </w:rPr>
        <w:t xml:space="preserve"> кв. м, кадастровый номер </w:t>
      </w:r>
      <w:r>
        <w:rPr>
          <w:rFonts w:ascii="Times New Roman" w:eastAsia="Times New Roman" w:hAnsi="Times New Roman" w:cs="Times New Roman"/>
          <w:sz w:val="28"/>
          <w:szCs w:val="28"/>
          <w:lang w:eastAsia="ar-SA"/>
        </w:rPr>
        <w:t>24:50:</w:t>
      </w:r>
      <w:r w:rsidR="00CC56E1">
        <w:rPr>
          <w:rFonts w:ascii="Times New Roman" w:eastAsia="Times New Roman" w:hAnsi="Times New Roman" w:cs="Times New Roman"/>
          <w:sz w:val="28"/>
          <w:szCs w:val="28"/>
          <w:lang w:eastAsia="ar-SA"/>
        </w:rPr>
        <w:t>0000000</w:t>
      </w:r>
      <w:r>
        <w:rPr>
          <w:rFonts w:ascii="Times New Roman" w:eastAsia="Times New Roman" w:hAnsi="Times New Roman" w:cs="Times New Roman"/>
          <w:sz w:val="28"/>
          <w:szCs w:val="28"/>
          <w:lang w:eastAsia="ar-SA"/>
        </w:rPr>
        <w:t>:</w:t>
      </w:r>
      <w:r w:rsidR="00CC56E1">
        <w:rPr>
          <w:rFonts w:ascii="Times New Roman" w:eastAsia="Times New Roman" w:hAnsi="Times New Roman" w:cs="Times New Roman"/>
          <w:sz w:val="28"/>
          <w:szCs w:val="28"/>
          <w:lang w:eastAsia="ar-SA"/>
        </w:rPr>
        <w:t>171503</w:t>
      </w:r>
      <w:r w:rsidR="00932EA4" w:rsidRPr="00524A6F">
        <w:rPr>
          <w:rFonts w:ascii="Times New Roman" w:eastAsia="Times New Roman" w:hAnsi="Times New Roman" w:cs="Times New Roman"/>
          <w:sz w:val="28"/>
          <w:szCs w:val="28"/>
          <w:lang w:eastAsia="ar-SA"/>
        </w:rPr>
        <w:t>, расположенное по адресу: Красноя</w:t>
      </w:r>
      <w:r w:rsidR="007D0D63" w:rsidRPr="00524A6F">
        <w:rPr>
          <w:rFonts w:ascii="Times New Roman" w:eastAsia="Times New Roman" w:hAnsi="Times New Roman" w:cs="Times New Roman"/>
          <w:sz w:val="28"/>
          <w:szCs w:val="28"/>
          <w:lang w:eastAsia="ar-SA"/>
        </w:rPr>
        <w:t xml:space="preserve">рский край, </w:t>
      </w:r>
      <w:r w:rsidR="00932EA4" w:rsidRPr="00524A6F">
        <w:rPr>
          <w:rFonts w:ascii="Times New Roman" w:eastAsia="Times New Roman" w:hAnsi="Times New Roman" w:cs="Times New Roman"/>
          <w:sz w:val="28"/>
          <w:szCs w:val="28"/>
          <w:lang w:eastAsia="ar-SA"/>
        </w:rPr>
        <w:t xml:space="preserve">г. Красноярск, </w:t>
      </w:r>
      <w:r w:rsidR="00CC56E1">
        <w:rPr>
          <w:rFonts w:ascii="Times New Roman" w:eastAsia="Times New Roman" w:hAnsi="Times New Roman" w:cs="Times New Roman"/>
          <w:sz w:val="28"/>
          <w:szCs w:val="28"/>
          <w:lang w:eastAsia="ar-SA"/>
        </w:rPr>
        <w:t>Октябрьский район,</w:t>
      </w:r>
    </w:p>
    <w:p w:rsidR="00932EA4" w:rsidRPr="00524A6F" w:rsidRDefault="00932EA4"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 xml:space="preserve">ул. </w:t>
      </w:r>
      <w:r w:rsidR="00CC56E1">
        <w:rPr>
          <w:rFonts w:ascii="Times New Roman" w:eastAsia="Times New Roman" w:hAnsi="Times New Roman" w:cs="Times New Roman"/>
          <w:sz w:val="28"/>
          <w:szCs w:val="28"/>
          <w:lang w:eastAsia="ar-SA"/>
        </w:rPr>
        <w:t xml:space="preserve">1-ая </w:t>
      </w:r>
      <w:proofErr w:type="gramStart"/>
      <w:r w:rsidR="00CC56E1">
        <w:rPr>
          <w:rFonts w:ascii="Times New Roman" w:eastAsia="Times New Roman" w:hAnsi="Times New Roman" w:cs="Times New Roman"/>
          <w:sz w:val="28"/>
          <w:szCs w:val="28"/>
          <w:lang w:eastAsia="ar-SA"/>
        </w:rPr>
        <w:t>Хабаровская</w:t>
      </w:r>
      <w:proofErr w:type="gramEnd"/>
      <w:r w:rsidRPr="00524A6F">
        <w:rPr>
          <w:rFonts w:ascii="Times New Roman" w:eastAsia="Times New Roman" w:hAnsi="Times New Roman" w:cs="Times New Roman"/>
          <w:sz w:val="28"/>
          <w:szCs w:val="28"/>
          <w:lang w:eastAsia="ar-SA"/>
        </w:rPr>
        <w:t xml:space="preserve">, </w:t>
      </w:r>
      <w:r w:rsidR="00CC56E1">
        <w:rPr>
          <w:rFonts w:ascii="Times New Roman" w:eastAsia="Times New Roman" w:hAnsi="Times New Roman" w:cs="Times New Roman"/>
          <w:sz w:val="28"/>
          <w:szCs w:val="28"/>
          <w:lang w:eastAsia="ar-SA"/>
        </w:rPr>
        <w:t>3, строение 2</w:t>
      </w:r>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7058B1"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2022</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CC56E1">
        <w:rPr>
          <w:rFonts w:ascii="Times New Roman" w:eastAsia="Times New Roman" w:hAnsi="Times New Roman" w:cs="Times New Roman"/>
          <w:spacing w:val="20"/>
          <w:sz w:val="28"/>
          <w:szCs w:val="28"/>
          <w:lang w:eastAsia="ru-RU"/>
        </w:rPr>
        <w:t>«31</w:t>
      </w:r>
      <w:r w:rsidRPr="00524A6F">
        <w:rPr>
          <w:rFonts w:ascii="Times New Roman" w:eastAsia="Times New Roman" w:hAnsi="Times New Roman" w:cs="Times New Roman"/>
          <w:spacing w:val="20"/>
          <w:sz w:val="28"/>
          <w:szCs w:val="28"/>
          <w:lang w:eastAsia="ru-RU"/>
        </w:rPr>
        <w:t xml:space="preserve">» </w:t>
      </w:r>
      <w:r w:rsidR="008366F8">
        <w:rPr>
          <w:rFonts w:ascii="Times New Roman" w:eastAsia="Times New Roman" w:hAnsi="Times New Roman" w:cs="Times New Roman"/>
          <w:spacing w:val="20"/>
          <w:sz w:val="28"/>
          <w:szCs w:val="28"/>
          <w:lang w:eastAsia="ru-RU"/>
        </w:rPr>
        <w:t>ок</w:t>
      </w:r>
      <w:r w:rsidR="00CC56E1">
        <w:rPr>
          <w:rFonts w:ascii="Times New Roman" w:eastAsia="Times New Roman" w:hAnsi="Times New Roman" w:cs="Times New Roman"/>
          <w:spacing w:val="20"/>
          <w:sz w:val="28"/>
          <w:szCs w:val="28"/>
          <w:lang w:eastAsia="ru-RU"/>
        </w:rPr>
        <w:t>тября 2022 года в 10</w:t>
      </w:r>
      <w:r w:rsidR="00370258" w:rsidRPr="00524A6F">
        <w:rPr>
          <w:rFonts w:ascii="Times New Roman" w:eastAsia="Times New Roman" w:hAnsi="Times New Roman" w:cs="Times New Roman"/>
          <w:spacing w:val="20"/>
          <w:sz w:val="28"/>
          <w:szCs w:val="28"/>
          <w:lang w:eastAsia="ru-RU"/>
        </w:rPr>
        <w:t xml:space="preserve"> часов 0</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Контактное лицо: Ильина Жанна Александровна, </w:t>
            </w:r>
            <w:r w:rsidRPr="00524A6F">
              <w:rPr>
                <w:rFonts w:ascii="Times New Roman" w:eastAsia="Times New Roman" w:hAnsi="Times New Roman" w:cs="Times New Roman"/>
                <w:sz w:val="24"/>
                <w:szCs w:val="24"/>
                <w:lang w:eastAsia="ar-SA"/>
              </w:rPr>
              <w:lastRenderedPageBreak/>
              <w:t>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CC56E1">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CC56E1" w:rsidRPr="00CC56E1">
              <w:rPr>
                <w:rFonts w:ascii="Times New Roman" w:eastAsia="Times New Roman" w:hAnsi="Times New Roman" w:cs="Times New Roman"/>
                <w:sz w:val="24"/>
                <w:szCs w:val="24"/>
                <w:lang w:eastAsia="ar-SA"/>
              </w:rPr>
              <w:t xml:space="preserve">нежилое помещение № 3 общей площадью </w:t>
            </w:r>
            <w:r w:rsidR="00782805">
              <w:rPr>
                <w:rFonts w:ascii="Times New Roman" w:eastAsia="Times New Roman" w:hAnsi="Times New Roman" w:cs="Times New Roman"/>
                <w:sz w:val="24"/>
                <w:szCs w:val="24"/>
                <w:lang w:eastAsia="ar-SA"/>
              </w:rPr>
              <w:t xml:space="preserve">     </w:t>
            </w:r>
            <w:r w:rsidR="00CC56E1" w:rsidRPr="00CC56E1">
              <w:rPr>
                <w:rFonts w:ascii="Times New Roman" w:eastAsia="Times New Roman" w:hAnsi="Times New Roman" w:cs="Times New Roman"/>
                <w:sz w:val="24"/>
                <w:szCs w:val="24"/>
                <w:lang w:eastAsia="ar-SA"/>
              </w:rPr>
              <w:t xml:space="preserve">50,2 кв. м, кадастровый номер 24:50:0000000:171503, расположенное по адресу: Красноярский край, </w:t>
            </w:r>
            <w:r w:rsidR="00782805">
              <w:rPr>
                <w:rFonts w:ascii="Times New Roman" w:eastAsia="Times New Roman" w:hAnsi="Times New Roman" w:cs="Times New Roman"/>
                <w:sz w:val="24"/>
                <w:szCs w:val="24"/>
                <w:lang w:eastAsia="ar-SA"/>
              </w:rPr>
              <w:t xml:space="preserve">               </w:t>
            </w:r>
            <w:r w:rsidR="00CC56E1" w:rsidRPr="00CC56E1">
              <w:rPr>
                <w:rFonts w:ascii="Times New Roman" w:eastAsia="Times New Roman" w:hAnsi="Times New Roman" w:cs="Times New Roman"/>
                <w:sz w:val="24"/>
                <w:szCs w:val="24"/>
                <w:lang w:eastAsia="ar-SA"/>
              </w:rPr>
              <w:t>г.</w:t>
            </w:r>
            <w:r w:rsidR="00CC56E1">
              <w:rPr>
                <w:rFonts w:ascii="Times New Roman" w:eastAsia="Times New Roman" w:hAnsi="Times New Roman" w:cs="Times New Roman"/>
                <w:sz w:val="24"/>
                <w:szCs w:val="24"/>
                <w:lang w:eastAsia="ar-SA"/>
              </w:rPr>
              <w:t xml:space="preserve"> Красноярск, Октябрьский район, </w:t>
            </w:r>
            <w:r w:rsidR="00CC56E1" w:rsidRPr="00CC56E1">
              <w:rPr>
                <w:rFonts w:ascii="Times New Roman" w:eastAsia="Times New Roman" w:hAnsi="Times New Roman" w:cs="Times New Roman"/>
                <w:sz w:val="24"/>
                <w:szCs w:val="24"/>
                <w:lang w:eastAsia="ar-SA"/>
              </w:rPr>
              <w:t xml:space="preserve">ул. 1-ая </w:t>
            </w:r>
            <w:proofErr w:type="gramStart"/>
            <w:r w:rsidR="00CC56E1" w:rsidRPr="00CC56E1">
              <w:rPr>
                <w:rFonts w:ascii="Times New Roman" w:eastAsia="Times New Roman" w:hAnsi="Times New Roman" w:cs="Times New Roman"/>
                <w:sz w:val="24"/>
                <w:szCs w:val="24"/>
                <w:lang w:eastAsia="ar-SA"/>
              </w:rPr>
              <w:t>Хабаровская</w:t>
            </w:r>
            <w:proofErr w:type="gramEnd"/>
            <w:r w:rsidR="00CC56E1" w:rsidRPr="00CC56E1">
              <w:rPr>
                <w:rFonts w:ascii="Times New Roman" w:eastAsia="Times New Roman" w:hAnsi="Times New Roman" w:cs="Times New Roman"/>
                <w:sz w:val="24"/>
                <w:szCs w:val="24"/>
                <w:lang w:eastAsia="ar-SA"/>
              </w:rPr>
              <w:t>, 3, строение 2</w:t>
            </w:r>
            <w:r w:rsidRPr="00524A6F">
              <w:rPr>
                <w:rFonts w:ascii="Times New Roman" w:eastAsia="Times New Roman" w:hAnsi="Times New Roman" w:cs="Times New Roman"/>
                <w:sz w:val="24"/>
                <w:szCs w:val="24"/>
                <w:lang w:eastAsia="ar-SA"/>
              </w:rPr>
              <w:t>.</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9B7559">
              <w:rPr>
                <w:rFonts w:ascii="Times New Roman" w:eastAsia="Times New Roman" w:hAnsi="Times New Roman" w:cs="Times New Roman"/>
                <w:sz w:val="24"/>
                <w:szCs w:val="24"/>
                <w:lang w:val="en-US" w:eastAsia="ar-SA"/>
              </w:rPr>
              <w:t xml:space="preserve">1988 </w:t>
            </w:r>
            <w:r w:rsidR="00932EA4" w:rsidRPr="00524A6F">
              <w:rPr>
                <w:rFonts w:ascii="Times New Roman" w:eastAsia="Times New Roman" w:hAnsi="Times New Roman" w:cs="Times New Roman"/>
                <w:sz w:val="24"/>
                <w:szCs w:val="24"/>
                <w:lang w:eastAsia="ar-SA"/>
              </w:rPr>
              <w:t>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B251ED"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9B7559">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9B7559" w:rsidRPr="009B7559">
              <w:rPr>
                <w:rFonts w:ascii="Times New Roman" w:eastAsia="Times New Roman" w:hAnsi="Times New Roman" w:cs="Times New Roman"/>
                <w:sz w:val="24"/>
                <w:szCs w:val="24"/>
                <w:lang w:eastAsia="ar-SA"/>
              </w:rPr>
              <w:t>10 793</w:t>
            </w:r>
            <w:r w:rsidR="00C27094" w:rsidRPr="00524A6F">
              <w:rPr>
                <w:rFonts w:ascii="Times New Roman" w:eastAsia="Times New Roman" w:hAnsi="Times New Roman" w:cs="Times New Roman"/>
                <w:sz w:val="24"/>
                <w:szCs w:val="24"/>
                <w:lang w:eastAsia="ar-SA"/>
              </w:rPr>
              <w:t xml:space="preserve"> (</w:t>
            </w:r>
            <w:r w:rsidR="009B7559">
              <w:rPr>
                <w:rFonts w:ascii="Times New Roman" w:eastAsia="Times New Roman" w:hAnsi="Times New Roman" w:cs="Times New Roman"/>
                <w:sz w:val="24"/>
                <w:szCs w:val="24"/>
                <w:lang w:eastAsia="ar-SA"/>
              </w:rPr>
              <w:t>десять тысяч семьсот девяносто три) рубля 0</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9B7559">
              <w:rPr>
                <w:rFonts w:ascii="Times New Roman" w:eastAsia="Times New Roman" w:hAnsi="Times New Roman" w:cs="Times New Roman"/>
                <w:sz w:val="24"/>
                <w:szCs w:val="24"/>
                <w:lang w:eastAsia="ar-SA"/>
              </w:rPr>
              <w:t xml:space="preserve"> четвергам с 10 часов 4</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9B7559">
              <w:rPr>
                <w:rFonts w:ascii="Times New Roman" w:eastAsia="Times New Roman" w:hAnsi="Times New Roman" w:cs="Times New Roman"/>
                <w:sz w:val="24"/>
                <w:szCs w:val="24"/>
                <w:lang w:eastAsia="ar-SA"/>
              </w:rPr>
              <w:t>11</w:t>
            </w:r>
            <w:r w:rsidRPr="00524A6F">
              <w:rPr>
                <w:rFonts w:ascii="Times New Roman" w:eastAsia="Times New Roman" w:hAnsi="Times New Roman" w:cs="Times New Roman"/>
                <w:sz w:val="24"/>
                <w:szCs w:val="24"/>
                <w:lang w:eastAsia="ar-SA"/>
              </w:rPr>
              <w:t xml:space="preserve"> часов</w:t>
            </w:r>
            <w:r w:rsidR="009B7559">
              <w:rPr>
                <w:rFonts w:ascii="Times New Roman" w:eastAsia="Times New Roman" w:hAnsi="Times New Roman" w:cs="Times New Roman"/>
                <w:sz w:val="24"/>
                <w:szCs w:val="24"/>
                <w:lang w:eastAsia="ar-SA"/>
              </w:rPr>
              <w:t xml:space="preserve"> 0</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w:t>
            </w:r>
            <w:r w:rsidRPr="00524A6F">
              <w:rPr>
                <w:rFonts w:ascii="Times New Roman" w:eastAsia="Times New Roman" w:hAnsi="Times New Roman" w:cs="Times New Roman"/>
                <w:sz w:val="24"/>
                <w:szCs w:val="24"/>
                <w:lang w:eastAsia="ar-SA"/>
              </w:rPr>
              <w:lastRenderedPageBreak/>
              <w:t>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524A6F" w:rsidRDefault="00C27094"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9B7559">
              <w:rPr>
                <w:rFonts w:ascii="Times New Roman" w:eastAsia="Times New Roman" w:hAnsi="Times New Roman" w:cs="Times New Roman"/>
                <w:sz w:val="24"/>
                <w:szCs w:val="24"/>
                <w:lang w:eastAsia="ar-SA"/>
              </w:rPr>
              <w:t>10 793</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9B7559">
              <w:rPr>
                <w:rFonts w:ascii="Times New Roman" w:eastAsia="Times New Roman" w:hAnsi="Times New Roman" w:cs="Times New Roman"/>
                <w:bCs/>
                <w:sz w:val="24"/>
                <w:szCs w:val="24"/>
                <w:lang w:eastAsia="ar-SA"/>
              </w:rPr>
              <w:t>17.10</w:t>
            </w:r>
            <w:r w:rsidR="00C27094" w:rsidRPr="00524A6F">
              <w:rPr>
                <w:rFonts w:ascii="Times New Roman" w:eastAsia="Times New Roman" w:hAnsi="Times New Roman" w:cs="Times New Roman"/>
                <w:bCs/>
                <w:sz w:val="24"/>
                <w:szCs w:val="24"/>
                <w:lang w:eastAsia="ar-SA"/>
              </w:rPr>
              <w:t>.2022</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8366F8" w:rsidRDefault="009B7559" w:rsidP="00083558">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Н</w:t>
            </w:r>
            <w:r w:rsidRPr="009B7559">
              <w:rPr>
                <w:rFonts w:ascii="Times New Roman" w:eastAsia="Times New Roman" w:hAnsi="Times New Roman" w:cs="Times New Roman"/>
                <w:sz w:val="24"/>
                <w:szCs w:val="24"/>
                <w:lang w:eastAsia="ar-SA"/>
              </w:rPr>
              <w:t xml:space="preserve">ежилое помещение № 3, расположенное по адресу: </w:t>
            </w:r>
            <w:proofErr w:type="gramStart"/>
            <w:r w:rsidRPr="009B7559">
              <w:rPr>
                <w:rFonts w:ascii="Times New Roman" w:eastAsia="Times New Roman" w:hAnsi="Times New Roman" w:cs="Times New Roman"/>
                <w:sz w:val="24"/>
                <w:szCs w:val="24"/>
                <w:lang w:eastAsia="ar-SA"/>
              </w:rPr>
              <w:t>Красноярский край, г.</w:t>
            </w:r>
            <w:r w:rsidR="00083558">
              <w:rPr>
                <w:rFonts w:ascii="Times New Roman" w:eastAsia="Times New Roman" w:hAnsi="Times New Roman" w:cs="Times New Roman"/>
                <w:sz w:val="24"/>
                <w:szCs w:val="24"/>
                <w:lang w:eastAsia="ar-SA"/>
              </w:rPr>
              <w:t xml:space="preserve"> Красноярск, Октябрьский район, </w:t>
            </w:r>
            <w:r w:rsidRPr="009B7559">
              <w:rPr>
                <w:rFonts w:ascii="Times New Roman" w:eastAsia="Times New Roman" w:hAnsi="Times New Roman" w:cs="Times New Roman"/>
                <w:sz w:val="24"/>
                <w:szCs w:val="24"/>
                <w:lang w:eastAsia="ar-SA"/>
              </w:rPr>
              <w:t>ул. 1-ая Хабаровская, 3, строение 2</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w:t>
            </w:r>
            <w:r w:rsidR="00083558">
              <w:rPr>
                <w:rFonts w:ascii="Times New Roman" w:eastAsia="Times New Roman" w:hAnsi="Times New Roman" w:cs="Times New Roman"/>
                <w:sz w:val="24"/>
                <w:szCs w:val="24"/>
                <w:lang w:eastAsia="ar-SA"/>
              </w:rPr>
              <w:t>ный распоряжением администрации</w:t>
            </w:r>
            <w:proofErr w:type="gramEnd"/>
            <w:r w:rsidR="00083558">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6250E3">
              <w:rPr>
                <w:rFonts w:ascii="Times New Roman" w:eastAsia="Times New Roman" w:hAnsi="Times New Roman" w:cs="Times New Roman"/>
                <w:sz w:val="24"/>
                <w:szCs w:val="24"/>
                <w:lang w:eastAsia="ar-SA"/>
              </w:rPr>
              <w:t xml:space="preserve">от 27.02.2009 </w:t>
            </w:r>
            <w:r w:rsidR="00083558">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BE5DF7">
              <w:rPr>
                <w:rFonts w:ascii="Times New Roman" w:eastAsia="Times New Roman" w:hAnsi="Times New Roman" w:cs="Times New Roman"/>
                <w:sz w:val="24"/>
                <w:szCs w:val="24"/>
                <w:lang w:eastAsia="ar-SA"/>
              </w:rPr>
              <w:t>23.09</w:t>
            </w:r>
            <w:r w:rsidR="007058B1"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BE5DF7">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BE5DF7">
              <w:rPr>
                <w:rFonts w:ascii="Times New Roman" w:eastAsia="Times New Roman" w:hAnsi="Times New Roman" w:cs="Times New Roman"/>
                <w:sz w:val="24"/>
                <w:szCs w:val="24"/>
                <w:lang w:eastAsia="ar-SA"/>
              </w:rPr>
              <w:t>17.10</w:t>
            </w:r>
            <w:r w:rsidR="00C27094"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BE5DF7">
              <w:rPr>
                <w:rFonts w:ascii="Times New Roman" w:eastAsia="Times New Roman" w:hAnsi="Times New Roman" w:cs="Times New Roman"/>
                <w:sz w:val="24"/>
                <w:szCs w:val="24"/>
                <w:lang w:eastAsia="ar-SA"/>
              </w:rPr>
              <w:t>31</w:t>
            </w:r>
            <w:r w:rsidR="008D0BE1">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.2022 </w:t>
            </w:r>
          </w:p>
          <w:p w:rsidR="00932EA4" w:rsidRPr="00524A6F" w:rsidRDefault="00BE5DF7"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00E87E36"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524A6F">
        <w:rPr>
          <w:rFonts w:ascii="Times New Roman" w:eastAsia="Times New Roman" w:hAnsi="Times New Roman" w:cs="Times New Roman"/>
          <w:sz w:val="24"/>
          <w:szCs w:val="24"/>
          <w:lang w:eastAsia="ru-RU"/>
        </w:rPr>
        <w:t>каб</w:t>
      </w:r>
      <w:proofErr w:type="spellEnd"/>
      <w:r w:rsidRPr="00524A6F">
        <w:rPr>
          <w:rFonts w:ascii="Times New Roman" w:eastAsia="Times New Roman" w:hAnsi="Times New Roman" w:cs="Times New Roman"/>
          <w:sz w:val="24"/>
          <w:szCs w:val="24"/>
          <w:lang w:eastAsia="ru-RU"/>
        </w:rPr>
        <w:t>. № 306)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D615F0" w:rsidRDefault="00932EA4" w:rsidP="00D615F0">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 платежном поручении (квитанции) об оплате задатка необходимо указывать: «Оплата задатка для участия в аукционе на право заключения</w:t>
      </w:r>
      <w:r w:rsidR="00D615F0">
        <w:rPr>
          <w:rFonts w:ascii="Times New Roman" w:eastAsia="Times New Roman" w:hAnsi="Times New Roman" w:cs="Times New Roman"/>
          <w:sz w:val="24"/>
          <w:szCs w:val="24"/>
          <w:lang w:eastAsia="ar-SA"/>
        </w:rPr>
        <w:t xml:space="preserve"> договора аренды по лоту № 1 – </w:t>
      </w:r>
    </w:p>
    <w:p w:rsidR="00932EA4" w:rsidRPr="00524A6F" w:rsidRDefault="008D0BE1" w:rsidP="00932EA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00B251ED">
        <w:rPr>
          <w:rFonts w:ascii="Times New Roman" w:eastAsia="Times New Roman" w:hAnsi="Times New Roman" w:cs="Times New Roman"/>
          <w:sz w:val="24"/>
          <w:szCs w:val="24"/>
          <w:lang w:eastAsia="ar-SA"/>
        </w:rPr>
        <w:t xml:space="preserve"> </w:t>
      </w:r>
      <w:r w:rsidR="00D615F0" w:rsidRPr="00D615F0">
        <w:rPr>
          <w:rFonts w:ascii="Times New Roman" w:eastAsia="Times New Roman" w:hAnsi="Times New Roman" w:cs="Times New Roman"/>
          <w:sz w:val="24"/>
          <w:szCs w:val="24"/>
          <w:lang w:eastAsia="ar-SA"/>
        </w:rPr>
        <w:t>№ 3</w:t>
      </w:r>
      <w:r w:rsidR="00D615F0">
        <w:rPr>
          <w:rFonts w:ascii="Times New Roman" w:eastAsia="Times New Roman" w:hAnsi="Times New Roman" w:cs="Times New Roman"/>
          <w:sz w:val="24"/>
          <w:szCs w:val="24"/>
          <w:lang w:eastAsia="ar-SA"/>
        </w:rPr>
        <w:t>, расположенному</w:t>
      </w:r>
      <w:r w:rsidR="00D615F0" w:rsidRPr="00D615F0">
        <w:rPr>
          <w:rFonts w:ascii="Times New Roman" w:eastAsia="Times New Roman" w:hAnsi="Times New Roman" w:cs="Times New Roman"/>
          <w:sz w:val="24"/>
          <w:szCs w:val="24"/>
          <w:lang w:eastAsia="ar-SA"/>
        </w:rPr>
        <w:t xml:space="preserve"> по адресу: Красноярский край, г.</w:t>
      </w:r>
      <w:r w:rsidR="00D615F0">
        <w:rPr>
          <w:rFonts w:ascii="Times New Roman" w:eastAsia="Times New Roman" w:hAnsi="Times New Roman" w:cs="Times New Roman"/>
          <w:sz w:val="24"/>
          <w:szCs w:val="24"/>
          <w:lang w:eastAsia="ar-SA"/>
        </w:rPr>
        <w:t xml:space="preserve"> Красноярск, Октябрьский район, </w:t>
      </w:r>
      <w:r w:rsidR="00D615F0" w:rsidRPr="00D615F0">
        <w:rPr>
          <w:rFonts w:ascii="Times New Roman" w:eastAsia="Times New Roman" w:hAnsi="Times New Roman" w:cs="Times New Roman"/>
          <w:sz w:val="24"/>
          <w:szCs w:val="24"/>
          <w:lang w:eastAsia="ar-SA"/>
        </w:rPr>
        <w:t>ул. 1-ая Хабаровская, 3, строение 2</w:t>
      </w:r>
      <w:r w:rsidR="00E87E36"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дата аукциона: </w:t>
      </w:r>
      <w:r w:rsidR="00D615F0">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.2022,</w:t>
      </w:r>
      <w:r w:rsidR="00932EA4" w:rsidRPr="00524A6F">
        <w:rPr>
          <w:rFonts w:ascii="Times New Roman" w:eastAsia="Times New Roman" w:hAnsi="Times New Roman" w:cs="Times New Roman"/>
          <w:sz w:val="28"/>
          <w:szCs w:val="20"/>
          <w:lang w:eastAsia="ar-SA"/>
        </w:rPr>
        <w:t xml:space="preserve"> </w:t>
      </w:r>
      <w:r w:rsidR="00932EA4" w:rsidRPr="00524A6F">
        <w:rPr>
          <w:rFonts w:ascii="Times New Roman" w:eastAsia="Times New Roman" w:hAnsi="Times New Roman" w:cs="Times New Roman"/>
          <w:sz w:val="24"/>
          <w:szCs w:val="24"/>
          <w:lang w:eastAsia="ar-SA"/>
        </w:rPr>
        <w:t xml:space="preserve">в размере </w:t>
      </w:r>
      <w:r w:rsidR="00D615F0">
        <w:rPr>
          <w:rFonts w:ascii="Times New Roman" w:eastAsia="Times New Roman" w:hAnsi="Times New Roman" w:cs="Times New Roman"/>
          <w:sz w:val="24"/>
          <w:szCs w:val="24"/>
          <w:lang w:eastAsia="ar-SA"/>
        </w:rPr>
        <w:t>10 793</w:t>
      </w:r>
      <w:r w:rsidR="00932EA4" w:rsidRPr="00524A6F">
        <w:rPr>
          <w:rFonts w:ascii="Times New Roman" w:eastAsia="Times New Roman" w:hAnsi="Times New Roman" w:cs="Times New Roman"/>
          <w:sz w:val="24"/>
          <w:szCs w:val="24"/>
          <w:lang w:eastAsia="ar-SA"/>
        </w:rPr>
        <w:t xml:space="preserve"> руб., НДС не облагается».</w:t>
      </w:r>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8972D7" w:rsidRPr="00524A6F">
        <w:rPr>
          <w:rFonts w:ascii="Times New Roman" w:eastAsia="Times New Roman" w:hAnsi="Times New Roman" w:cs="Times New Roman"/>
          <w:sz w:val="24"/>
          <w:szCs w:val="24"/>
          <w:lang w:eastAsia="ar-SA"/>
        </w:rPr>
        <w:t>мотренным подпунктом 6.6 пункта</w:t>
      </w:r>
      <w:r w:rsidRPr="00524A6F">
        <w:rPr>
          <w:rFonts w:ascii="Times New Roman" w:eastAsia="Times New Roman" w:hAnsi="Times New Roman" w:cs="Times New Roman"/>
          <w:sz w:val="24"/>
          <w:szCs w:val="24"/>
          <w:lang w:eastAsia="ar-SA"/>
        </w:rPr>
        <w:t xml:space="preserve"> 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0847E0" w:rsidRPr="00524A6F" w:rsidRDefault="000847E0" w:rsidP="000847E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Pr="00CC56E1">
              <w:rPr>
                <w:rFonts w:ascii="Times New Roman" w:eastAsia="Times New Roman" w:hAnsi="Times New Roman" w:cs="Times New Roman"/>
                <w:sz w:val="24"/>
                <w:szCs w:val="24"/>
                <w:lang w:eastAsia="ar-SA"/>
              </w:rPr>
              <w:t xml:space="preserve">нежилое помещение № 3 общей площадью </w:t>
            </w:r>
            <w:r>
              <w:rPr>
                <w:rFonts w:ascii="Times New Roman" w:eastAsia="Times New Roman" w:hAnsi="Times New Roman" w:cs="Times New Roman"/>
                <w:sz w:val="24"/>
                <w:szCs w:val="24"/>
                <w:lang w:eastAsia="ar-SA"/>
              </w:rPr>
              <w:t xml:space="preserve">          </w:t>
            </w:r>
            <w:r w:rsidRPr="00CC56E1">
              <w:rPr>
                <w:rFonts w:ascii="Times New Roman" w:eastAsia="Times New Roman" w:hAnsi="Times New Roman" w:cs="Times New Roman"/>
                <w:sz w:val="24"/>
                <w:szCs w:val="24"/>
                <w:lang w:eastAsia="ar-SA"/>
              </w:rPr>
              <w:t xml:space="preserve">50,2 кв. м, кадастровый номер 24:50:0000000:171503, расположенное по адресу: Красноярский край, </w:t>
            </w:r>
            <w:r>
              <w:rPr>
                <w:rFonts w:ascii="Times New Roman" w:eastAsia="Times New Roman" w:hAnsi="Times New Roman" w:cs="Times New Roman"/>
                <w:sz w:val="24"/>
                <w:szCs w:val="24"/>
                <w:lang w:eastAsia="ar-SA"/>
              </w:rPr>
              <w:t xml:space="preserve">                     </w:t>
            </w:r>
            <w:r w:rsidRPr="00CC56E1">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 xml:space="preserve"> Красноярск, Октябрьский район, </w:t>
            </w:r>
            <w:r w:rsidRPr="00CC56E1">
              <w:rPr>
                <w:rFonts w:ascii="Times New Roman" w:eastAsia="Times New Roman" w:hAnsi="Times New Roman" w:cs="Times New Roman"/>
                <w:sz w:val="24"/>
                <w:szCs w:val="24"/>
                <w:lang w:eastAsia="ar-SA"/>
              </w:rPr>
              <w:t xml:space="preserve">ул. 1-ая </w:t>
            </w:r>
            <w:proofErr w:type="gramStart"/>
            <w:r w:rsidRPr="00CC56E1">
              <w:rPr>
                <w:rFonts w:ascii="Times New Roman" w:eastAsia="Times New Roman" w:hAnsi="Times New Roman" w:cs="Times New Roman"/>
                <w:sz w:val="24"/>
                <w:szCs w:val="24"/>
                <w:lang w:eastAsia="ar-SA"/>
              </w:rPr>
              <w:t>Хабаровская</w:t>
            </w:r>
            <w:proofErr w:type="gramEnd"/>
            <w:r w:rsidRPr="00CC56E1">
              <w:rPr>
                <w:rFonts w:ascii="Times New Roman" w:eastAsia="Times New Roman" w:hAnsi="Times New Roman" w:cs="Times New Roman"/>
                <w:sz w:val="24"/>
                <w:szCs w:val="24"/>
                <w:lang w:eastAsia="ar-SA"/>
              </w:rPr>
              <w:t>, 3, строение 2</w:t>
            </w:r>
            <w:r w:rsidRPr="00524A6F">
              <w:rPr>
                <w:rFonts w:ascii="Times New Roman" w:eastAsia="Times New Roman" w:hAnsi="Times New Roman" w:cs="Times New Roman"/>
                <w:sz w:val="24"/>
                <w:szCs w:val="24"/>
                <w:lang w:eastAsia="ar-SA"/>
              </w:rPr>
              <w:t>.</w:t>
            </w:r>
          </w:p>
          <w:p w:rsidR="000847E0" w:rsidRPr="00524A6F" w:rsidRDefault="000847E0" w:rsidP="000847E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0847E0" w:rsidRPr="00524A6F" w:rsidRDefault="000847E0" w:rsidP="000847E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Pr="000847E0">
              <w:rPr>
                <w:rFonts w:ascii="Times New Roman" w:eastAsia="Times New Roman" w:hAnsi="Times New Roman" w:cs="Times New Roman"/>
                <w:sz w:val="24"/>
                <w:szCs w:val="24"/>
                <w:lang w:eastAsia="ar-SA"/>
              </w:rPr>
              <w:t xml:space="preserve">1988 </w:t>
            </w:r>
            <w:r w:rsidRPr="00524A6F">
              <w:rPr>
                <w:rFonts w:ascii="Times New Roman" w:eastAsia="Times New Roman" w:hAnsi="Times New Roman" w:cs="Times New Roman"/>
                <w:sz w:val="24"/>
                <w:szCs w:val="24"/>
                <w:lang w:eastAsia="ar-SA"/>
              </w:rPr>
              <w:t>г.</w:t>
            </w:r>
          </w:p>
          <w:p w:rsidR="000847E0" w:rsidRPr="00524A6F" w:rsidRDefault="000847E0" w:rsidP="000847E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0847E0" w:rsidRPr="00524A6F" w:rsidRDefault="000847E0" w:rsidP="000847E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0847E0" w:rsidP="000847E0">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0847E0" w:rsidRDefault="000847E0"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847E0">
              <w:rPr>
                <w:rFonts w:ascii="Times New Roman" w:eastAsia="Times New Roman" w:hAnsi="Times New Roman" w:cs="Times New Roman"/>
                <w:sz w:val="24"/>
                <w:szCs w:val="24"/>
                <w:lang w:eastAsia="ar-SA"/>
              </w:rPr>
              <w:t>Лот 1 – 10 793 (десять тысяч семьсот девяносто три) рубля 00 копеек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0847E0">
              <w:rPr>
                <w:rFonts w:ascii="Times New Roman" w:eastAsia="Times New Roman" w:hAnsi="Times New Roman" w:cs="Times New Roman"/>
                <w:sz w:val="24"/>
                <w:szCs w:val="24"/>
                <w:lang w:eastAsia="ar-SA"/>
              </w:rPr>
              <w:t>24</w:t>
            </w:r>
            <w:r w:rsidR="008D0BE1">
              <w:rPr>
                <w:rFonts w:ascii="Times New Roman" w:eastAsia="Times New Roman" w:hAnsi="Times New Roman" w:cs="Times New Roman"/>
                <w:sz w:val="24"/>
                <w:szCs w:val="24"/>
                <w:lang w:eastAsia="ar-SA"/>
              </w:rPr>
              <w:t>.08</w:t>
            </w:r>
            <w:r w:rsidR="0020391B"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 </w:t>
            </w:r>
            <w:r w:rsidR="000847E0">
              <w:rPr>
                <w:rFonts w:ascii="Times New Roman" w:eastAsia="Times New Roman" w:hAnsi="Times New Roman" w:cs="Times New Roman"/>
                <w:sz w:val="24"/>
                <w:szCs w:val="24"/>
                <w:lang w:eastAsia="ar-SA"/>
              </w:rPr>
              <w:t>2810</w:t>
            </w:r>
            <w:r w:rsidRPr="00524A6F">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20391B" w:rsidRPr="00524A6F">
              <w:rPr>
                <w:rFonts w:ascii="Times New Roman" w:eastAsia="Times New Roman" w:hAnsi="Times New Roman" w:cs="Times New Roman"/>
                <w:sz w:val="24"/>
                <w:szCs w:val="24"/>
                <w:lang w:eastAsia="ar-SA"/>
              </w:rPr>
              <w:t>Независимый экспертно-консалтинговый центр</w:t>
            </w:r>
            <w:r w:rsidRPr="00524A6F">
              <w:rPr>
                <w:rFonts w:ascii="Times New Roman" w:eastAsia="Times New Roman" w:hAnsi="Times New Roman" w:cs="Times New Roman"/>
                <w:sz w:val="24"/>
                <w:szCs w:val="24"/>
                <w:lang w:eastAsia="ar-SA"/>
              </w:rPr>
              <w:t xml:space="preserve">», определившего рыночную стоимость арендной платы </w:t>
            </w:r>
            <w:r w:rsidR="0020391B"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 xml:space="preserve">за 1 кв. м/месяц в размере </w:t>
            </w:r>
            <w:r w:rsidR="000847E0">
              <w:rPr>
                <w:rFonts w:ascii="Times New Roman" w:eastAsia="Times New Roman" w:hAnsi="Times New Roman" w:cs="Times New Roman"/>
                <w:sz w:val="24"/>
                <w:szCs w:val="24"/>
                <w:lang w:eastAsia="ar-SA"/>
              </w:rPr>
              <w:t>215</w:t>
            </w:r>
            <w:r w:rsidRPr="00524A6F">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Средняя рыночная стоимость 1 кв. м  х S, где:</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S – площадь занимаемого помещения, кв. м;</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арендная плата в месяц, руб.;</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месяц = </w:t>
            </w:r>
            <w:r w:rsidR="000847E0">
              <w:rPr>
                <w:rFonts w:ascii="Times New Roman" w:eastAsia="Times New Roman" w:hAnsi="Times New Roman" w:cs="Times New Roman"/>
                <w:sz w:val="24"/>
                <w:szCs w:val="24"/>
                <w:lang w:eastAsia="ar-SA"/>
              </w:rPr>
              <w:t>215</w:t>
            </w:r>
            <w:r w:rsidRPr="00524A6F">
              <w:rPr>
                <w:rFonts w:ascii="Times New Roman" w:eastAsia="Times New Roman" w:hAnsi="Times New Roman" w:cs="Times New Roman"/>
                <w:sz w:val="24"/>
                <w:szCs w:val="24"/>
                <w:lang w:eastAsia="ar-SA"/>
              </w:rPr>
              <w:t xml:space="preserve"> руб. х </w:t>
            </w:r>
            <w:r w:rsidR="000847E0">
              <w:rPr>
                <w:rFonts w:ascii="Times New Roman" w:eastAsia="Times New Roman" w:hAnsi="Times New Roman" w:cs="Times New Roman"/>
                <w:sz w:val="24"/>
                <w:szCs w:val="24"/>
                <w:lang w:eastAsia="ar-SA"/>
              </w:rPr>
              <w:t>50,2</w:t>
            </w:r>
            <w:r w:rsidRPr="00524A6F">
              <w:rPr>
                <w:rFonts w:ascii="Times New Roman" w:eastAsia="Times New Roman" w:hAnsi="Times New Roman" w:cs="Times New Roman"/>
                <w:sz w:val="24"/>
                <w:szCs w:val="24"/>
                <w:lang w:eastAsia="ar-SA"/>
              </w:rPr>
              <w:t xml:space="preserve"> кв. м = </w:t>
            </w:r>
            <w:r w:rsidR="008D0BE1">
              <w:rPr>
                <w:rFonts w:ascii="Times New Roman" w:eastAsia="Times New Roman" w:hAnsi="Times New Roman" w:cs="Times New Roman"/>
                <w:sz w:val="24"/>
                <w:szCs w:val="24"/>
                <w:lang w:eastAsia="ar-SA"/>
              </w:rPr>
              <w:t xml:space="preserve">                  = </w:t>
            </w:r>
            <w:r w:rsidR="000847E0">
              <w:rPr>
                <w:rFonts w:ascii="Times New Roman" w:eastAsia="Times New Roman" w:hAnsi="Times New Roman" w:cs="Times New Roman"/>
                <w:sz w:val="24"/>
                <w:szCs w:val="24"/>
                <w:lang w:eastAsia="ar-SA"/>
              </w:rPr>
              <w:t>10 793</w:t>
            </w:r>
            <w:r w:rsidRPr="00524A6F">
              <w:rPr>
                <w:rFonts w:ascii="Times New Roman" w:eastAsia="Times New Roman" w:hAnsi="Times New Roman" w:cs="Times New Roman"/>
                <w:sz w:val="24"/>
                <w:szCs w:val="24"/>
                <w:lang w:eastAsia="ar-SA"/>
              </w:rPr>
              <w:t xml:space="preserve"> руб. </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год = </w:t>
            </w:r>
            <w:r w:rsidR="000847E0">
              <w:rPr>
                <w:rFonts w:ascii="Times New Roman" w:eastAsia="Times New Roman" w:hAnsi="Times New Roman" w:cs="Times New Roman"/>
                <w:sz w:val="24"/>
                <w:szCs w:val="24"/>
                <w:lang w:eastAsia="ar-SA"/>
              </w:rPr>
              <w:t>10 793</w:t>
            </w:r>
            <w:r w:rsidR="0020391B" w:rsidRPr="00524A6F">
              <w:rPr>
                <w:rFonts w:ascii="Times New Roman" w:eastAsia="Times New Roman" w:hAnsi="Times New Roman" w:cs="Times New Roman"/>
                <w:sz w:val="24"/>
                <w:szCs w:val="24"/>
                <w:lang w:eastAsia="ar-SA"/>
              </w:rPr>
              <w:t xml:space="preserve"> руб. х 12 мес. =</w:t>
            </w:r>
            <w:r w:rsidR="008D0BE1">
              <w:rPr>
                <w:rFonts w:ascii="Times New Roman" w:eastAsia="Times New Roman" w:hAnsi="Times New Roman" w:cs="Times New Roman"/>
                <w:sz w:val="24"/>
                <w:szCs w:val="24"/>
                <w:lang w:eastAsia="ar-SA"/>
              </w:rPr>
              <w:t xml:space="preserve">                    </w:t>
            </w:r>
            <w:r w:rsidR="000847E0">
              <w:rPr>
                <w:rFonts w:ascii="Times New Roman" w:eastAsia="Times New Roman" w:hAnsi="Times New Roman" w:cs="Times New Roman"/>
                <w:sz w:val="24"/>
                <w:szCs w:val="24"/>
                <w:lang w:eastAsia="ar-SA"/>
              </w:rPr>
              <w:t xml:space="preserve">  </w:t>
            </w:r>
            <w:r w:rsidR="008D0BE1">
              <w:rPr>
                <w:rFonts w:ascii="Times New Roman" w:eastAsia="Times New Roman" w:hAnsi="Times New Roman" w:cs="Times New Roman"/>
                <w:sz w:val="24"/>
                <w:szCs w:val="24"/>
                <w:lang w:eastAsia="ar-SA"/>
              </w:rPr>
              <w:t xml:space="preserve">= </w:t>
            </w:r>
            <w:r w:rsidR="000847E0">
              <w:rPr>
                <w:rFonts w:ascii="Times New Roman" w:eastAsia="Times New Roman" w:hAnsi="Times New Roman" w:cs="Times New Roman"/>
                <w:sz w:val="24"/>
                <w:szCs w:val="24"/>
                <w:lang w:eastAsia="ar-SA"/>
              </w:rPr>
              <w:t>129 516</w:t>
            </w:r>
            <w:r w:rsidRPr="00524A6F">
              <w:rPr>
                <w:rFonts w:ascii="Times New Roman" w:eastAsia="Times New Roman" w:hAnsi="Times New Roman" w:cs="Times New Roman"/>
                <w:sz w:val="24"/>
                <w:szCs w:val="24"/>
                <w:lang w:eastAsia="ar-SA"/>
              </w:rPr>
              <w:t xml:space="preserve"> руб.</w:t>
            </w:r>
          </w:p>
          <w:p w:rsidR="00932EA4" w:rsidRPr="00524A6F" w:rsidRDefault="00932EA4" w:rsidP="000847E0">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за 5 лет = </w:t>
            </w:r>
            <w:r w:rsidR="000847E0">
              <w:rPr>
                <w:rFonts w:ascii="Times New Roman" w:eastAsia="Times New Roman" w:hAnsi="Times New Roman" w:cs="Times New Roman"/>
                <w:sz w:val="24"/>
                <w:szCs w:val="24"/>
                <w:lang w:eastAsia="ar-SA"/>
              </w:rPr>
              <w:t>129 516</w:t>
            </w:r>
            <w:r w:rsidR="0020391B" w:rsidRPr="00524A6F">
              <w:rPr>
                <w:rFonts w:ascii="Times New Roman" w:eastAsia="Times New Roman" w:hAnsi="Times New Roman" w:cs="Times New Roman"/>
                <w:sz w:val="24"/>
                <w:szCs w:val="24"/>
                <w:lang w:eastAsia="ar-SA"/>
              </w:rPr>
              <w:t xml:space="preserve"> руб. х 5 лет = </w:t>
            </w:r>
            <w:r w:rsidR="008D0BE1">
              <w:rPr>
                <w:rFonts w:ascii="Times New Roman" w:eastAsia="Times New Roman" w:hAnsi="Times New Roman" w:cs="Times New Roman"/>
                <w:sz w:val="24"/>
                <w:szCs w:val="24"/>
                <w:lang w:eastAsia="ar-SA"/>
              </w:rPr>
              <w:t xml:space="preserve">                  = </w:t>
            </w:r>
            <w:r w:rsidR="000847E0">
              <w:rPr>
                <w:rFonts w:ascii="Times New Roman" w:eastAsia="Times New Roman" w:hAnsi="Times New Roman" w:cs="Times New Roman"/>
                <w:sz w:val="24"/>
                <w:szCs w:val="24"/>
                <w:lang w:eastAsia="ar-SA"/>
              </w:rPr>
              <w:t>647 580</w:t>
            </w:r>
            <w:r w:rsidRPr="00524A6F">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w:t>
            </w:r>
            <w:r w:rsidRPr="00524A6F">
              <w:rPr>
                <w:rFonts w:ascii="Times New Roman" w:eastAsia="Times New Roman" w:hAnsi="Times New Roman" w:cs="Times New Roman"/>
                <w:sz w:val="24"/>
                <w:szCs w:val="24"/>
                <w:lang w:eastAsia="ar-SA"/>
              </w:rPr>
              <w:lastRenderedPageBreak/>
              <w:t xml:space="preserve">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0847E0">
              <w:rPr>
                <w:rFonts w:ascii="Times New Roman" w:eastAsia="Times New Roman" w:hAnsi="Times New Roman" w:cs="Times New Roman"/>
                <w:sz w:val="24"/>
                <w:szCs w:val="24"/>
                <w:lang w:eastAsia="ar-SA"/>
              </w:rPr>
              <w:t>часов 40 минут до 11</w:t>
            </w:r>
            <w:r w:rsidRPr="00524A6F">
              <w:rPr>
                <w:rFonts w:ascii="Times New Roman" w:eastAsia="Times New Roman" w:hAnsi="Times New Roman" w:cs="Times New Roman"/>
                <w:sz w:val="24"/>
                <w:szCs w:val="24"/>
                <w:lang w:eastAsia="ar-SA"/>
              </w:rPr>
              <w:t xml:space="preserve"> часов </w:t>
            </w:r>
            <w:r w:rsidR="000847E0">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0847E0">
              <w:rPr>
                <w:rFonts w:ascii="Times New Roman" w:eastAsia="Times New Roman" w:hAnsi="Times New Roman" w:cs="Times New Roman"/>
                <w:sz w:val="24"/>
                <w:szCs w:val="24"/>
                <w:lang w:eastAsia="ar-SA"/>
              </w:rPr>
              <w:t>10 793</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0847E0">
              <w:rPr>
                <w:rFonts w:ascii="Times New Roman" w:eastAsia="Times New Roman" w:hAnsi="Times New Roman" w:cs="Times New Roman"/>
                <w:sz w:val="24"/>
                <w:szCs w:val="24"/>
                <w:lang w:eastAsia="ar-SA"/>
              </w:rPr>
              <w:t>17.10</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w:t>
            </w:r>
            <w:r w:rsidRPr="00524A6F">
              <w:rPr>
                <w:rFonts w:ascii="Times New Roman" w:eastAsia="Times New Roman" w:hAnsi="Times New Roman" w:cs="Times New Roman"/>
                <w:sz w:val="24"/>
                <w:szCs w:val="24"/>
                <w:lang w:eastAsia="ar-SA"/>
              </w:rPr>
              <w:lastRenderedPageBreak/>
              <w:t xml:space="preserve">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0847E0" w:rsidP="00766317">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0847E0">
              <w:rPr>
                <w:rFonts w:ascii="Times New Roman" w:eastAsia="Times New Roman" w:hAnsi="Times New Roman" w:cs="Times New Roman"/>
                <w:sz w:val="24"/>
                <w:szCs w:val="24"/>
                <w:lang w:eastAsia="ar-SA"/>
              </w:rPr>
              <w:t xml:space="preserve">Нежилое помещение № 3, расположенное по адресу: </w:t>
            </w:r>
            <w:proofErr w:type="gramStart"/>
            <w:r w:rsidRPr="000847E0">
              <w:rPr>
                <w:rFonts w:ascii="Times New Roman" w:eastAsia="Times New Roman" w:hAnsi="Times New Roman" w:cs="Times New Roman"/>
                <w:sz w:val="24"/>
                <w:szCs w:val="24"/>
                <w:lang w:eastAsia="ar-SA"/>
              </w:rPr>
              <w:t xml:space="preserve">Красноярский край, г. Красноярск, Октябрьский район, </w:t>
            </w:r>
            <w:r>
              <w:rPr>
                <w:rFonts w:ascii="Times New Roman" w:eastAsia="Times New Roman" w:hAnsi="Times New Roman" w:cs="Times New Roman"/>
                <w:sz w:val="24"/>
                <w:szCs w:val="24"/>
                <w:lang w:eastAsia="ar-SA"/>
              </w:rPr>
              <w:t xml:space="preserve">      </w:t>
            </w:r>
            <w:r w:rsidRPr="000847E0">
              <w:rPr>
                <w:rFonts w:ascii="Times New Roman" w:eastAsia="Times New Roman" w:hAnsi="Times New Roman" w:cs="Times New Roman"/>
                <w:sz w:val="24"/>
                <w:szCs w:val="24"/>
                <w:lang w:eastAsia="ar-SA"/>
              </w:rPr>
              <w:t>ул. 1-ая Хабаровская, 3, строение 2,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w:t>
            </w:r>
            <w:proofErr w:type="gramEnd"/>
            <w:r w:rsidRPr="000847E0">
              <w:rPr>
                <w:rFonts w:ascii="Times New Roman" w:eastAsia="Times New Roman" w:hAnsi="Times New Roman" w:cs="Times New Roman"/>
                <w:sz w:val="24"/>
                <w:szCs w:val="24"/>
                <w:lang w:eastAsia="ar-SA"/>
              </w:rPr>
              <w:t xml:space="preserve"> г. Красноярска </w:t>
            </w:r>
            <w:r>
              <w:rPr>
                <w:rFonts w:ascii="Times New Roman" w:eastAsia="Times New Roman" w:hAnsi="Times New Roman" w:cs="Times New Roman"/>
                <w:sz w:val="24"/>
                <w:szCs w:val="24"/>
                <w:lang w:eastAsia="ar-SA"/>
              </w:rPr>
              <w:t xml:space="preserve">                   от 27.02.2009 </w:t>
            </w:r>
            <w:r w:rsidRPr="000847E0">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0847E0">
              <w:rPr>
                <w:rFonts w:ascii="Times New Roman" w:eastAsia="Times New Roman" w:hAnsi="Times New Roman" w:cs="Times New Roman"/>
                <w:sz w:val="24"/>
                <w:szCs w:val="24"/>
                <w:lang w:eastAsia="ar-SA"/>
              </w:rPr>
              <w:t>23</w:t>
            </w:r>
            <w:r w:rsidR="00F95932">
              <w:rPr>
                <w:rFonts w:ascii="Times New Roman" w:eastAsia="Times New Roman" w:hAnsi="Times New Roman" w:cs="Times New Roman"/>
                <w:sz w:val="24"/>
                <w:szCs w:val="24"/>
                <w:lang w:eastAsia="ar-SA"/>
              </w:rPr>
              <w:t>.09</w:t>
            </w:r>
            <w:r w:rsidR="00DD758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0847E0">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0847E0">
              <w:rPr>
                <w:rFonts w:ascii="Times New Roman" w:eastAsia="Times New Roman" w:hAnsi="Times New Roman" w:cs="Times New Roman"/>
                <w:sz w:val="24"/>
                <w:szCs w:val="24"/>
                <w:lang w:eastAsia="ar-SA"/>
              </w:rPr>
              <w:t>17.10</w:t>
            </w:r>
            <w:r w:rsidRPr="00524A6F">
              <w:rPr>
                <w:rFonts w:ascii="Times New Roman" w:eastAsia="Times New Roman" w:hAnsi="Times New Roman" w:cs="Times New Roman"/>
                <w:sz w:val="24"/>
                <w:szCs w:val="24"/>
                <w:lang w:eastAsia="ar-SA"/>
              </w:rPr>
              <w:t>.2022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0847E0">
              <w:rPr>
                <w:rFonts w:ascii="Times New Roman" w:eastAsia="Times New Roman" w:hAnsi="Times New Roman" w:cs="Times New Roman"/>
                <w:sz w:val="24"/>
                <w:szCs w:val="24"/>
                <w:lang w:eastAsia="ar-SA"/>
              </w:rPr>
              <w:t>18.10</w:t>
            </w:r>
            <w:r w:rsidR="00DD7587" w:rsidRPr="00524A6F">
              <w:rPr>
                <w:rFonts w:ascii="Times New Roman" w:eastAsia="Times New Roman" w:hAnsi="Times New Roman" w:cs="Times New Roman"/>
                <w:sz w:val="24"/>
                <w:szCs w:val="24"/>
                <w:lang w:eastAsia="ar-SA"/>
              </w:rPr>
              <w:t>.</w:t>
            </w:r>
            <w:r w:rsidR="00721967"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0847E0">
              <w:rPr>
                <w:rFonts w:ascii="Times New Roman" w:eastAsia="Times New Roman" w:hAnsi="Times New Roman" w:cs="Times New Roman"/>
                <w:sz w:val="24"/>
                <w:szCs w:val="24"/>
                <w:lang w:eastAsia="ar-SA"/>
              </w:rPr>
              <w:t>31</w:t>
            </w:r>
            <w:r w:rsidR="00F95932">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.2022 </w:t>
            </w:r>
            <w:bookmarkStart w:id="2" w:name="_GoBack"/>
            <w:bookmarkEnd w:id="2"/>
          </w:p>
          <w:p w:rsidR="00932EA4" w:rsidRPr="00524A6F" w:rsidRDefault="000847E0"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932EA4" w:rsidRPr="00524A6F">
              <w:rPr>
                <w:rFonts w:ascii="Times New Roman" w:eastAsia="Times New Roman" w:hAnsi="Times New Roman" w:cs="Times New Roman"/>
                <w:sz w:val="24"/>
                <w:szCs w:val="24"/>
                <w:lang w:eastAsia="ar-SA"/>
              </w:rPr>
              <w:t xml:space="preserve"> часов </w:t>
            </w:r>
            <w:r w:rsidR="00455017" w:rsidRPr="00524A6F">
              <w:rPr>
                <w:rFonts w:ascii="Times New Roman" w:eastAsia="Times New Roman" w:hAnsi="Times New Roman" w:cs="Times New Roman"/>
                <w:sz w:val="24"/>
                <w:szCs w:val="24"/>
                <w:lang w:eastAsia="ar-SA"/>
              </w:rPr>
              <w:t>0</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8C5045" w:rsidRPr="008C5045" w:rsidRDefault="00932EA4" w:rsidP="008C5045">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8C5045" w:rsidRPr="008C5045">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8C5045" w:rsidRDefault="008C5045" w:rsidP="008C5045">
      <w:pPr>
        <w:spacing w:after="0" w:line="240" w:lineRule="auto"/>
        <w:jc w:val="both"/>
        <w:rPr>
          <w:rFonts w:ascii="Times New Roman" w:eastAsia="Times New Roman" w:hAnsi="Times New Roman" w:cs="Times New Roman"/>
          <w:sz w:val="24"/>
          <w:szCs w:val="24"/>
          <w:lang w:eastAsia="ar-SA"/>
        </w:rPr>
      </w:pPr>
      <w:r w:rsidRPr="008C5045">
        <w:rPr>
          <w:rFonts w:ascii="Times New Roman" w:eastAsia="Times New Roman" w:hAnsi="Times New Roman" w:cs="Times New Roman"/>
          <w:sz w:val="24"/>
          <w:szCs w:val="24"/>
          <w:lang w:eastAsia="ar-SA"/>
        </w:rPr>
        <w:t>нежилому помещению № 3, расположенному по адресу: Красноярский край, г. Красноярск, Октябрьский район, ул. 1-ая Хабаровская, 3, строение 2, дата аукциона: 31.10.2022, в размере 10 793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8C5045" w:rsidRPr="008C5045" w:rsidRDefault="00932EA4" w:rsidP="008C5045">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8C5045" w:rsidRPr="008C5045">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8C5045" w:rsidRDefault="008C5045" w:rsidP="008C5045">
      <w:pPr>
        <w:spacing w:after="0" w:line="240" w:lineRule="auto"/>
        <w:jc w:val="both"/>
        <w:rPr>
          <w:rFonts w:ascii="Times New Roman" w:eastAsia="Times New Roman" w:hAnsi="Times New Roman" w:cs="Times New Roman"/>
          <w:sz w:val="24"/>
          <w:szCs w:val="24"/>
          <w:lang w:eastAsia="ar-SA"/>
        </w:rPr>
      </w:pPr>
      <w:r w:rsidRPr="008C5045">
        <w:rPr>
          <w:rFonts w:ascii="Times New Roman" w:eastAsia="Times New Roman" w:hAnsi="Times New Roman" w:cs="Times New Roman"/>
          <w:sz w:val="24"/>
          <w:szCs w:val="24"/>
          <w:lang w:eastAsia="ar-SA"/>
        </w:rPr>
        <w:t>нежилому помещению № 3, расположенному по адресу: Красноярский край, г. Красноярск, Октябрьский район, ул. 1-ая Хабаровская, 3, строение 2, дата аукциона: 31.10.2022, в размере 10 793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2F60E1">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C52F85">
        <w:rPr>
          <w:rFonts w:ascii="Times New Roman" w:eastAsia="Times New Roman" w:hAnsi="Times New Roman" w:cs="Times New Roman"/>
          <w:sz w:val="26"/>
          <w:szCs w:val="26"/>
          <w:lang w:eastAsia="ru-RU"/>
        </w:rPr>
        <w:t xml:space="preserve">нежилое помещение </w:t>
      </w:r>
      <w:r w:rsidR="002F60E1" w:rsidRPr="002F60E1">
        <w:rPr>
          <w:rFonts w:ascii="Times New Roman" w:eastAsia="Times New Roman" w:hAnsi="Times New Roman" w:cs="Times New Roman"/>
          <w:sz w:val="26"/>
          <w:szCs w:val="26"/>
          <w:lang w:eastAsia="ru-RU"/>
        </w:rPr>
        <w:t>№ 3 общей площадью 50,2 кв. м, кадастровый номер 24:50:0000000:171503</w:t>
      </w:r>
      <w:r w:rsidR="002F60E1">
        <w:rPr>
          <w:rFonts w:ascii="Times New Roman" w:eastAsia="Times New Roman" w:hAnsi="Times New Roman" w:cs="Times New Roman"/>
          <w:sz w:val="26"/>
          <w:szCs w:val="26"/>
          <w:lang w:eastAsia="ru-RU"/>
        </w:rPr>
        <w:t xml:space="preserve"> </w:t>
      </w:r>
      <w:r w:rsidR="002F60E1" w:rsidRPr="002F60E1">
        <w:rPr>
          <w:rFonts w:ascii="Times New Roman" w:eastAsia="Times New Roman" w:hAnsi="Times New Roman" w:cs="Times New Roman"/>
          <w:sz w:val="26"/>
          <w:szCs w:val="26"/>
          <w:lang w:eastAsia="ru-RU"/>
        </w:rPr>
        <w:t>(далее именуемое – Объект аренды)</w:t>
      </w:r>
      <w:r w:rsidR="002F60E1" w:rsidRPr="002F60E1">
        <w:rPr>
          <w:rFonts w:ascii="Times New Roman" w:eastAsia="Times New Roman" w:hAnsi="Times New Roman" w:cs="Times New Roman"/>
          <w:sz w:val="26"/>
          <w:szCs w:val="26"/>
          <w:lang w:eastAsia="ru-RU"/>
        </w:rPr>
        <w:t>, расположенное по адресу: Красноярский край, г.</w:t>
      </w:r>
      <w:r w:rsidR="002F60E1">
        <w:rPr>
          <w:rFonts w:ascii="Times New Roman" w:eastAsia="Times New Roman" w:hAnsi="Times New Roman" w:cs="Times New Roman"/>
          <w:sz w:val="26"/>
          <w:szCs w:val="26"/>
          <w:lang w:eastAsia="ru-RU"/>
        </w:rPr>
        <w:t xml:space="preserve"> Красноярск, Октябрьский район, </w:t>
      </w:r>
      <w:r w:rsidR="002F60E1" w:rsidRPr="002F60E1">
        <w:rPr>
          <w:rFonts w:ascii="Times New Roman" w:eastAsia="Times New Roman" w:hAnsi="Times New Roman" w:cs="Times New Roman"/>
          <w:sz w:val="26"/>
          <w:szCs w:val="26"/>
          <w:lang w:eastAsia="ru-RU"/>
        </w:rPr>
        <w:t xml:space="preserve">ул. 1-ая </w:t>
      </w:r>
      <w:proofErr w:type="gramStart"/>
      <w:r w:rsidR="002F60E1" w:rsidRPr="002F60E1">
        <w:rPr>
          <w:rFonts w:ascii="Times New Roman" w:eastAsia="Times New Roman" w:hAnsi="Times New Roman" w:cs="Times New Roman"/>
          <w:sz w:val="26"/>
          <w:szCs w:val="26"/>
          <w:lang w:eastAsia="ru-RU"/>
        </w:rPr>
        <w:t>Хабаровская</w:t>
      </w:r>
      <w:proofErr w:type="gramEnd"/>
      <w:r w:rsidR="002F60E1" w:rsidRPr="002F60E1">
        <w:rPr>
          <w:rFonts w:ascii="Times New Roman" w:eastAsia="Times New Roman" w:hAnsi="Times New Roman" w:cs="Times New Roman"/>
          <w:sz w:val="26"/>
          <w:szCs w:val="26"/>
          <w:lang w:eastAsia="ru-RU"/>
        </w:rPr>
        <w:t>, 3, строение 2</w:t>
      </w:r>
      <w:r w:rsidR="00C52F85">
        <w:rPr>
          <w:rFonts w:ascii="Times New Roman" w:eastAsia="Times New Roman" w:hAnsi="Times New Roman" w:cs="Times New Roman"/>
          <w:sz w:val="26"/>
          <w:szCs w:val="26"/>
          <w:lang w:eastAsia="ru-RU"/>
        </w:rPr>
        <w:t xml:space="preserve">,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C52F85" w:rsidRPr="00C52F85">
        <w:rPr>
          <w:rFonts w:ascii="Times New Roman" w:eastAsia="Times New Roman" w:hAnsi="Times New Roman" w:cs="Times New Roman"/>
          <w:sz w:val="26"/>
          <w:szCs w:val="26"/>
          <w:lang w:eastAsia="ru-RU"/>
        </w:rPr>
        <w:t xml:space="preserve">нежилое помещение </w:t>
      </w:r>
      <w:r w:rsidR="002F60E1" w:rsidRPr="002F60E1">
        <w:rPr>
          <w:rFonts w:ascii="Times New Roman" w:eastAsia="Times New Roman" w:hAnsi="Times New Roman" w:cs="Times New Roman"/>
          <w:sz w:val="26"/>
          <w:szCs w:val="26"/>
          <w:lang w:eastAsia="ru-RU"/>
        </w:rPr>
        <w:t>№ 3 общей площадью 50,2 кв. м, кадастровый номер 24:50:0000000:171503 (далее именуемое – Объект аренды), расположенное по адресу:</w:t>
      </w:r>
      <w:proofErr w:type="gramEnd"/>
      <w:r w:rsidR="002F60E1" w:rsidRPr="002F60E1">
        <w:rPr>
          <w:rFonts w:ascii="Times New Roman" w:eastAsia="Times New Roman" w:hAnsi="Times New Roman" w:cs="Times New Roman"/>
          <w:sz w:val="26"/>
          <w:szCs w:val="26"/>
          <w:lang w:eastAsia="ru-RU"/>
        </w:rPr>
        <w:t xml:space="preserve"> Красноярский край, г. Красноярск, Октябрьский район, ул. 1</w:t>
      </w:r>
      <w:r w:rsidR="002F60E1">
        <w:rPr>
          <w:rFonts w:ascii="Times New Roman" w:eastAsia="Times New Roman" w:hAnsi="Times New Roman" w:cs="Times New Roman"/>
          <w:sz w:val="26"/>
          <w:szCs w:val="26"/>
          <w:lang w:eastAsia="ru-RU"/>
        </w:rPr>
        <w:t xml:space="preserve">-ая </w:t>
      </w:r>
      <w:proofErr w:type="gramStart"/>
      <w:r w:rsidR="002F60E1">
        <w:rPr>
          <w:rFonts w:ascii="Times New Roman" w:eastAsia="Times New Roman" w:hAnsi="Times New Roman" w:cs="Times New Roman"/>
          <w:sz w:val="26"/>
          <w:szCs w:val="26"/>
          <w:lang w:eastAsia="ru-RU"/>
        </w:rPr>
        <w:t>Хабаровская</w:t>
      </w:r>
      <w:proofErr w:type="gramEnd"/>
      <w:r w:rsidR="002F60E1">
        <w:rPr>
          <w:rFonts w:ascii="Times New Roman" w:eastAsia="Times New Roman" w:hAnsi="Times New Roman" w:cs="Times New Roman"/>
          <w:sz w:val="26"/>
          <w:szCs w:val="26"/>
          <w:lang w:eastAsia="ru-RU"/>
        </w:rPr>
        <w:t>, 3, строение 2</w:t>
      </w:r>
      <w:r w:rsidR="00C52F85">
        <w:rPr>
          <w:rFonts w:ascii="Times New Roman" w:eastAsia="Times New Roman" w:hAnsi="Times New Roman" w:cs="Times New Roman"/>
          <w:sz w:val="26"/>
          <w:szCs w:val="26"/>
          <w:lang w:eastAsia="ru-RU"/>
        </w:rPr>
        <w:t xml:space="preserve">, </w:t>
      </w:r>
      <w:r w:rsidRPr="00027C35">
        <w:rPr>
          <w:rFonts w:ascii="Times New Roman" w:eastAsia="Times New Roman" w:hAnsi="Times New Roman" w:cs="Times New Roman"/>
          <w:sz w:val="26"/>
          <w:szCs w:val="26"/>
          <w:lang w:eastAsia="ru-RU"/>
        </w:rPr>
        <w:t>в следующем санитарно-техническом состоянии: ______________________.</w:t>
      </w:r>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2F60E1" w:rsidRDefault="00932EA4" w:rsidP="002F60E1">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2F60E1">
        <w:rPr>
          <w:rFonts w:ascii="Times New Roman" w:eastAsia="Times New Roman" w:hAnsi="Times New Roman" w:cs="Times New Roman"/>
          <w:sz w:val="26"/>
          <w:szCs w:val="26"/>
          <w:lang w:eastAsia="ru-RU"/>
        </w:rPr>
        <w:t xml:space="preserve">№ 3 общей площадью 50,2 кв. м </w:t>
      </w:r>
      <w:r w:rsidR="002F60E1" w:rsidRPr="002F60E1">
        <w:rPr>
          <w:rFonts w:ascii="Times New Roman" w:eastAsia="Times New Roman" w:hAnsi="Times New Roman" w:cs="Times New Roman"/>
          <w:sz w:val="26"/>
          <w:szCs w:val="26"/>
          <w:lang w:eastAsia="ru-RU"/>
        </w:rPr>
        <w:t>по адресу: Красноярский край, г.</w:t>
      </w:r>
      <w:r w:rsidR="002F60E1">
        <w:rPr>
          <w:rFonts w:ascii="Times New Roman" w:eastAsia="Times New Roman" w:hAnsi="Times New Roman" w:cs="Times New Roman"/>
          <w:sz w:val="26"/>
          <w:szCs w:val="26"/>
          <w:lang w:eastAsia="ru-RU"/>
        </w:rPr>
        <w:t xml:space="preserve"> Красноярск, Октябрьский район,</w:t>
      </w:r>
    </w:p>
    <w:p w:rsidR="009B6944" w:rsidRDefault="002F60E1" w:rsidP="002F60E1">
      <w:pPr>
        <w:spacing w:after="0" w:line="240" w:lineRule="auto"/>
        <w:ind w:right="847"/>
        <w:jc w:val="center"/>
        <w:rPr>
          <w:rFonts w:ascii="Times New Roman" w:eastAsia="Times New Roman" w:hAnsi="Times New Roman" w:cs="Times New Roman"/>
          <w:sz w:val="26"/>
          <w:szCs w:val="26"/>
          <w:lang w:eastAsia="ru-RU"/>
        </w:rPr>
      </w:pPr>
      <w:r w:rsidRPr="002F60E1">
        <w:rPr>
          <w:rFonts w:ascii="Times New Roman" w:eastAsia="Times New Roman" w:hAnsi="Times New Roman" w:cs="Times New Roman"/>
          <w:sz w:val="26"/>
          <w:szCs w:val="26"/>
          <w:lang w:eastAsia="ru-RU"/>
        </w:rPr>
        <w:t xml:space="preserve">ул. 1-ая </w:t>
      </w:r>
      <w:proofErr w:type="gramStart"/>
      <w:r w:rsidRPr="002F60E1">
        <w:rPr>
          <w:rFonts w:ascii="Times New Roman" w:eastAsia="Times New Roman" w:hAnsi="Times New Roman" w:cs="Times New Roman"/>
          <w:sz w:val="26"/>
          <w:szCs w:val="26"/>
          <w:lang w:eastAsia="ru-RU"/>
        </w:rPr>
        <w:t>Хабаровская</w:t>
      </w:r>
      <w:proofErr w:type="gramEnd"/>
      <w:r w:rsidRPr="002F60E1">
        <w:rPr>
          <w:rFonts w:ascii="Times New Roman" w:eastAsia="Times New Roman" w:hAnsi="Times New Roman" w:cs="Times New Roman"/>
          <w:sz w:val="26"/>
          <w:szCs w:val="26"/>
          <w:lang w:eastAsia="ru-RU"/>
        </w:rPr>
        <w:t>, 3, строение 2</w:t>
      </w:r>
      <w:r>
        <w:rPr>
          <w:rFonts w:ascii="Times New Roman" w:eastAsia="Times New Roman" w:hAnsi="Times New Roman" w:cs="Times New Roman"/>
          <w:sz w:val="26"/>
          <w:szCs w:val="26"/>
          <w:lang w:eastAsia="ru-RU"/>
        </w:rPr>
        <w:t xml:space="preserve">, </w:t>
      </w:r>
      <w:r w:rsidR="009B6944">
        <w:rPr>
          <w:rFonts w:ascii="Times New Roman" w:eastAsia="Times New Roman" w:hAnsi="Times New Roman" w:cs="Times New Roman"/>
          <w:sz w:val="26"/>
          <w:szCs w:val="26"/>
          <w:lang w:eastAsia="ru-RU"/>
        </w:rPr>
        <w:t xml:space="preserve">используемое </w:t>
      </w:r>
      <w:r w:rsidR="009B6944"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E1" w:rsidRDefault="00CC56E1" w:rsidP="008705E9">
      <w:pPr>
        <w:spacing w:after="0" w:line="240" w:lineRule="auto"/>
      </w:pPr>
      <w:r>
        <w:separator/>
      </w:r>
    </w:p>
  </w:endnote>
  <w:endnote w:type="continuationSeparator" w:id="0">
    <w:p w:rsidR="00CC56E1" w:rsidRDefault="00CC56E1"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E1" w:rsidRDefault="00CC56E1" w:rsidP="008705E9">
      <w:pPr>
        <w:spacing w:after="0" w:line="240" w:lineRule="auto"/>
      </w:pPr>
      <w:r>
        <w:separator/>
      </w:r>
    </w:p>
  </w:footnote>
  <w:footnote w:type="continuationSeparator" w:id="0">
    <w:p w:rsidR="00CC56E1" w:rsidRDefault="00CC56E1"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pPr>
      <w:pStyle w:val="a9"/>
      <w:jc w:val="center"/>
    </w:pPr>
    <w:r>
      <w:fldChar w:fldCharType="begin"/>
    </w:r>
    <w:r>
      <w:instrText xml:space="preserve"> PAGE   \* MERGEFORMAT </w:instrText>
    </w:r>
    <w:r>
      <w:fldChar w:fldCharType="separate"/>
    </w:r>
    <w:r w:rsidR="00782805">
      <w:rPr>
        <w:noProof/>
      </w:rPr>
      <w:t>29</w:t>
    </w:r>
    <w:r>
      <w:fldChar w:fldCharType="end"/>
    </w:r>
  </w:p>
  <w:p w:rsidR="00CC56E1" w:rsidRDefault="00CC56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pPr>
      <w:pStyle w:val="a9"/>
      <w:jc w:val="center"/>
    </w:pPr>
  </w:p>
  <w:p w:rsidR="00CC56E1" w:rsidRDefault="00CC56E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Content>
      <w:p w:rsidR="00CC56E1" w:rsidRDefault="00CC56E1">
        <w:pPr>
          <w:pStyle w:val="a9"/>
          <w:jc w:val="center"/>
        </w:pPr>
        <w:r>
          <w:fldChar w:fldCharType="begin"/>
        </w:r>
        <w:r>
          <w:instrText>PAGE   \* MERGEFORMAT</w:instrText>
        </w:r>
        <w:r>
          <w:fldChar w:fldCharType="separate"/>
        </w:r>
        <w:r w:rsidR="00782805" w:rsidRPr="00782805">
          <w:rPr>
            <w:noProof/>
            <w:lang w:val="ru-RU"/>
          </w:rPr>
          <w:t>40</w:t>
        </w:r>
        <w:r>
          <w:fldChar w:fldCharType="end"/>
        </w:r>
      </w:p>
    </w:sdtContent>
  </w:sdt>
  <w:p w:rsidR="00CC56E1" w:rsidRDefault="00CC56E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E1" w:rsidRDefault="00CC5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83558"/>
    <w:rsid w:val="000847E0"/>
    <w:rsid w:val="000D1CC1"/>
    <w:rsid w:val="00102F9F"/>
    <w:rsid w:val="0012582A"/>
    <w:rsid w:val="001B22AC"/>
    <w:rsid w:val="0020391B"/>
    <w:rsid w:val="002F1D93"/>
    <w:rsid w:val="002F60E1"/>
    <w:rsid w:val="00302A87"/>
    <w:rsid w:val="00370258"/>
    <w:rsid w:val="003826A3"/>
    <w:rsid w:val="00425135"/>
    <w:rsid w:val="00455017"/>
    <w:rsid w:val="00512650"/>
    <w:rsid w:val="00520AE4"/>
    <w:rsid w:val="00524A6F"/>
    <w:rsid w:val="00571CE5"/>
    <w:rsid w:val="0057494B"/>
    <w:rsid w:val="005B0211"/>
    <w:rsid w:val="005C7987"/>
    <w:rsid w:val="005F553A"/>
    <w:rsid w:val="00613AD7"/>
    <w:rsid w:val="006250E3"/>
    <w:rsid w:val="00697661"/>
    <w:rsid w:val="006A2D19"/>
    <w:rsid w:val="007058B1"/>
    <w:rsid w:val="00721967"/>
    <w:rsid w:val="00742E62"/>
    <w:rsid w:val="00766317"/>
    <w:rsid w:val="00782805"/>
    <w:rsid w:val="00784C69"/>
    <w:rsid w:val="007B6AE5"/>
    <w:rsid w:val="007D0D63"/>
    <w:rsid w:val="007E1CD2"/>
    <w:rsid w:val="007F0E32"/>
    <w:rsid w:val="008010B8"/>
    <w:rsid w:val="0081358F"/>
    <w:rsid w:val="0083058D"/>
    <w:rsid w:val="008366F8"/>
    <w:rsid w:val="008705E9"/>
    <w:rsid w:val="008972D7"/>
    <w:rsid w:val="008B4D6B"/>
    <w:rsid w:val="008C5045"/>
    <w:rsid w:val="008C59D3"/>
    <w:rsid w:val="008C6F39"/>
    <w:rsid w:val="008D0BE1"/>
    <w:rsid w:val="00907377"/>
    <w:rsid w:val="00911E81"/>
    <w:rsid w:val="00917D32"/>
    <w:rsid w:val="00932EA4"/>
    <w:rsid w:val="00942A1B"/>
    <w:rsid w:val="009B6944"/>
    <w:rsid w:val="009B7559"/>
    <w:rsid w:val="00A24E5A"/>
    <w:rsid w:val="00A63CF7"/>
    <w:rsid w:val="00A646C6"/>
    <w:rsid w:val="00A83F43"/>
    <w:rsid w:val="00B251ED"/>
    <w:rsid w:val="00B37658"/>
    <w:rsid w:val="00B50162"/>
    <w:rsid w:val="00B812B4"/>
    <w:rsid w:val="00BE0F58"/>
    <w:rsid w:val="00BE5DF7"/>
    <w:rsid w:val="00C04045"/>
    <w:rsid w:val="00C27094"/>
    <w:rsid w:val="00C52F85"/>
    <w:rsid w:val="00CC56E1"/>
    <w:rsid w:val="00D00F8A"/>
    <w:rsid w:val="00D1016D"/>
    <w:rsid w:val="00D4316B"/>
    <w:rsid w:val="00D615F0"/>
    <w:rsid w:val="00DA6569"/>
    <w:rsid w:val="00DC0DF8"/>
    <w:rsid w:val="00DD7587"/>
    <w:rsid w:val="00DE793A"/>
    <w:rsid w:val="00E65751"/>
    <w:rsid w:val="00E841EB"/>
    <w:rsid w:val="00E85E9D"/>
    <w:rsid w:val="00E870E7"/>
    <w:rsid w:val="00E87E36"/>
    <w:rsid w:val="00EB0BC1"/>
    <w:rsid w:val="00EE4432"/>
    <w:rsid w:val="00F034C7"/>
    <w:rsid w:val="00F04B2B"/>
    <w:rsid w:val="00F2767E"/>
    <w:rsid w:val="00F3054F"/>
    <w:rsid w:val="00F86346"/>
    <w:rsid w:val="00F95932"/>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E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E0"/>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66FBFF-0B78-4F77-9D8C-36A843F4255E}"/>
</file>

<file path=customXml/itemProps2.xml><?xml version="1.0" encoding="utf-8"?>
<ds:datastoreItem xmlns:ds="http://schemas.openxmlformats.org/officeDocument/2006/customXml" ds:itemID="{7D8D6CDA-1AE6-442E-9EF4-CD816B4E17DD}"/>
</file>

<file path=customXml/itemProps3.xml><?xml version="1.0" encoding="utf-8"?>
<ds:datastoreItem xmlns:ds="http://schemas.openxmlformats.org/officeDocument/2006/customXml" ds:itemID="{17049E7D-3304-4DC6-BFEA-B742BEC9B2A1}"/>
</file>

<file path=customXml/itemProps4.xml><?xml version="1.0" encoding="utf-8"?>
<ds:datastoreItem xmlns:ds="http://schemas.openxmlformats.org/officeDocument/2006/customXml" ds:itemID="{6761D40D-DD9A-4B66-A2E5-244D52FAF301}"/>
</file>

<file path=docProps/app.xml><?xml version="1.0" encoding="utf-8"?>
<Properties xmlns="http://schemas.openxmlformats.org/officeDocument/2006/extended-properties" xmlns:vt="http://schemas.openxmlformats.org/officeDocument/2006/docPropsVTypes">
  <Template>Normal</Template>
  <TotalTime>585</TotalTime>
  <Pages>40</Pages>
  <Words>16019</Words>
  <Characters>91311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96</cp:revision>
  <cp:lastPrinted>2022-08-16T04:03:00Z</cp:lastPrinted>
  <dcterms:created xsi:type="dcterms:W3CDTF">2021-11-24T04:13:00Z</dcterms:created>
  <dcterms:modified xsi:type="dcterms:W3CDTF">2022-09-21T05:09:00Z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